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53" w:rsidRDefault="00BC77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C7753" w:rsidRDefault="00BC7753">
      <w:pPr>
        <w:pStyle w:val="ConsPlusNormal"/>
        <w:jc w:val="both"/>
        <w:outlineLvl w:val="0"/>
      </w:pPr>
    </w:p>
    <w:p w:rsidR="00BC7753" w:rsidRDefault="00BC7753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BC7753" w:rsidRDefault="00BC7753">
      <w:pPr>
        <w:pStyle w:val="ConsPlusTitle"/>
        <w:jc w:val="center"/>
      </w:pPr>
    </w:p>
    <w:p w:rsidR="00BC7753" w:rsidRDefault="00BC7753">
      <w:pPr>
        <w:pStyle w:val="ConsPlusTitle"/>
        <w:jc w:val="center"/>
      </w:pPr>
      <w:r>
        <w:t>РЕШЕНИЕ</w:t>
      </w:r>
    </w:p>
    <w:p w:rsidR="00BC7753" w:rsidRDefault="00BC7753">
      <w:pPr>
        <w:pStyle w:val="ConsPlusTitle"/>
        <w:jc w:val="center"/>
      </w:pPr>
      <w:r>
        <w:t>от 2 августа 2016 г. N 204</w:t>
      </w:r>
    </w:p>
    <w:p w:rsidR="00BC7753" w:rsidRDefault="00BC7753">
      <w:pPr>
        <w:pStyle w:val="ConsPlusTitle"/>
        <w:jc w:val="center"/>
      </w:pPr>
    </w:p>
    <w:p w:rsidR="00BC7753" w:rsidRDefault="00BC7753">
      <w:pPr>
        <w:pStyle w:val="ConsPlusTitle"/>
        <w:jc w:val="center"/>
      </w:pPr>
      <w:r>
        <w:t>О СТРАТЕГИИ СОЦИАЛЬНО-ЭКОНОМИЧЕСКОГО РАЗВИТИЯ ГОРОДА ЛИПЕЦКА</w:t>
      </w:r>
    </w:p>
    <w:p w:rsidR="00BC7753" w:rsidRDefault="00BC7753">
      <w:pPr>
        <w:pStyle w:val="ConsPlusTitle"/>
        <w:jc w:val="center"/>
      </w:pPr>
      <w:r>
        <w:t>ДО 2035 ГОДА</w:t>
      </w:r>
    </w:p>
    <w:p w:rsidR="00BC7753" w:rsidRDefault="00BC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C7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13.12.2023 </w:t>
            </w:r>
            <w:hyperlink r:id="rId5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26.12.2024 </w:t>
            </w:r>
            <w:hyperlink r:id="rId6">
              <w:r>
                <w:rPr>
                  <w:color w:val="0000FF"/>
                </w:rPr>
                <w:t>N 871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Рассмотрев проект Стратегии социально-экономического развития города Липецка до 2035 года, внесенный Главой города Липецка и доработанный с учетом заключения на предложения участников публичных слушаний по обсуждению проекта Стратегии социально-экономического развития города Липецка до 2035 года от 27.07.2016, руководствуясь </w:t>
      </w:r>
      <w:hyperlink r:id="rId7">
        <w:r>
          <w:rPr>
            <w:color w:val="0000FF"/>
          </w:rPr>
          <w:t>статьями 36</w:t>
        </w:r>
      </w:hyperlink>
      <w:r>
        <w:t xml:space="preserve">, </w:t>
      </w:r>
      <w:hyperlink r:id="rId8">
        <w:r>
          <w:rPr>
            <w:color w:val="0000FF"/>
          </w:rPr>
          <w:t>59</w:t>
        </w:r>
      </w:hyperlink>
      <w:r>
        <w:t xml:space="preserve"> Устава города Липецка, учитывая решение постоянной комиссии Липецкого городского Совета депутатов по экономической и промышленной политике, развитию малого и среднего предпринимательства, Липецкий городской Совет депутатов решил: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6">
        <w:r>
          <w:rPr>
            <w:color w:val="0000FF"/>
          </w:rPr>
          <w:t>Стратегию</w:t>
        </w:r>
      </w:hyperlink>
      <w:r>
        <w:t xml:space="preserve"> социально-экономического развития города Липецка до 2035 года (прилагается).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Направить вышеуказанный муниципальный правовой акт Главе города Липецка для подписания и официального опубликования.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Настоящее решение вступает в силу 01 января 2017 года.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right"/>
      </w:pPr>
      <w:r>
        <w:t>Председатель</w:t>
      </w:r>
    </w:p>
    <w:p w:rsidR="00BC7753" w:rsidRDefault="00BC7753">
      <w:pPr>
        <w:pStyle w:val="ConsPlusNormal"/>
        <w:jc w:val="right"/>
      </w:pPr>
      <w:r>
        <w:t>Липецкого городского</w:t>
      </w:r>
    </w:p>
    <w:p w:rsidR="00BC7753" w:rsidRDefault="00BC7753">
      <w:pPr>
        <w:pStyle w:val="ConsPlusNormal"/>
        <w:jc w:val="right"/>
      </w:pPr>
      <w:r>
        <w:t>Совета депутатов</w:t>
      </w:r>
    </w:p>
    <w:p w:rsidR="00BC7753" w:rsidRDefault="00BC7753">
      <w:pPr>
        <w:pStyle w:val="ConsPlusNormal"/>
        <w:jc w:val="right"/>
      </w:pPr>
      <w:r>
        <w:t>И.В.ТИНЬКОВ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0"/>
      </w:pPr>
      <w:bookmarkStart w:id="0" w:name="P26"/>
      <w:bookmarkEnd w:id="0"/>
      <w:r>
        <w:t>СТРАТЕГИЯ</w:t>
      </w:r>
    </w:p>
    <w:p w:rsidR="00BC7753" w:rsidRDefault="00BC7753">
      <w:pPr>
        <w:pStyle w:val="ConsPlusTitle"/>
        <w:jc w:val="center"/>
      </w:pPr>
      <w:r>
        <w:t>СОЦИАЛЬНО-ЭКОНОМИЧЕСКОГО РАЗВИТИЯ ГОРОДА ЛИПЕЦКА</w:t>
      </w:r>
    </w:p>
    <w:p w:rsidR="00BC7753" w:rsidRDefault="00BC7753">
      <w:pPr>
        <w:pStyle w:val="ConsPlusTitle"/>
        <w:jc w:val="center"/>
      </w:pPr>
      <w:r>
        <w:t>ДО 2035 ГОДА</w:t>
      </w:r>
    </w:p>
    <w:p w:rsidR="00BC7753" w:rsidRDefault="00BC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C7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BC7753" w:rsidRDefault="00BC7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13.12.2023 </w:t>
            </w:r>
            <w:hyperlink r:id="rId9">
              <w:r>
                <w:rPr>
                  <w:color w:val="0000FF"/>
                </w:rPr>
                <w:t>N 645</w:t>
              </w:r>
            </w:hyperlink>
            <w:r>
              <w:rPr>
                <w:color w:val="392C69"/>
              </w:rPr>
              <w:t xml:space="preserve">, от 26.12.2024 </w:t>
            </w:r>
            <w:hyperlink r:id="rId10">
              <w:r>
                <w:rPr>
                  <w:color w:val="0000FF"/>
                </w:rPr>
                <w:t>N 871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C7753" w:rsidRDefault="00BC7753">
            <w:pPr>
              <w:pStyle w:val="ConsPlusNormal"/>
            </w:pP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Введение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Первым документом, на основе которого осуществлялось стратегическое управление городом с 2006 по 2016 год, являлся Стратегический план развития города Липецка до 2016 года.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 xml:space="preserve">В начале XXI века российские города только начинали внедрять идеи стратегического планирования в систему социально-экономического развития. Сама идея стратегического планирования не была новой для российской экономики, однако внедрение стратегического подхода в практику городского управления происходило постепенно, на протяжении всех последних десяти лет. Кроме того, изменения, происходившие в мировой экономике, сформировавшиеся новые вызовы и возможности делали актуальными вопросы обновления ранее принятых планов развития муниципальных образований. Так, утвержденная в 2008 году Правительством Российской Федерации </w:t>
      </w:r>
      <w:hyperlink r:id="rId11">
        <w:r>
          <w:rPr>
            <w:color w:val="0000FF"/>
          </w:rPr>
          <w:t>Концепция</w:t>
        </w:r>
      </w:hyperlink>
      <w:r>
        <w:t xml:space="preserve"> долгосрочного социально-экономического развития Российской Федерации на период до 2020 года задала новые приоритеты развития регионов. А глобальный мировой финансовый кризис 2008 - 2009 явился толчком к активизации усилий по поиску новых путей развития территорий. Кризис показал слабые места моноэкономики города, возникла настоятельная потребность по-новому взглянуть на те ресурсы, которые имеются в городе, найти новые перспективные ниши для развития городской экономики.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Принятие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28 июня 2014 года N 172-ФЗ "О стратегическом планировании в Российской Федерации" открыло новые возможности для повышения эффективности государственного и муниципального управления.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тех городах, где сформировано высокое качество городской среды, происходит прорыв в развитии экономики, растет благосостояние и качество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связи с этим администрацией города Липецка был проведен ряд мероприятий в рамках разработки Стратегии с участием представителей международного научного сообщества, Министерства регионального развития Российской Федерации, института социально-политических исследований Российской академии наук, ведущих российских консультационных компаний, а также руководителей городов Центрального Федерального округа: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международная научно-практическая конференция "Липецк 2035. Стратегия развития", которая стала стартовой площадкой для определения вектора развития города Липецка на долгосрочную перспективу;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- 2 форсайт-сессии с целью выявления возможных путей развития города и перспективных ниш в городской и региональной экономике, способных сбалансировать негативные последствия отраслевых кризисов и изменений в структуре рынка труда, а также сформулировать необходимые шаги по обеспечению устойчивого развития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международный научно-практический форум "Стратегическое планирование развития территорий. Опыт. Современные тенденции. Перспективы".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Форум стал эффективной площадкой для конструктивного обсуждения методологии и техники построения долгосрочного видения, определения перспективных направлений развития города путем обмена опытом, реагирования на новые вызовы, основанного на мобилизации экспертных и широких общественных возможностей.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Также, в рамках общественного этапа разработки проекта "Стратегии развития города Липецка до 2035 года", была определена миссия города Липецка: "Город многоотраслевой, сбалансированной экономики и комфортной среды проживания". В миссии раскрывается смысл и предназначение существования города, она определяет картину желаемого будущего города, которая понимается, поддерживается и реализуется населением.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Таким образом, на момент формирования новой городской Стратегии город имел солидную наработанную аналитическую и информационную базу. Наиболее важным представлялось извлечь уроки из 10-летнего опыта внедрения стратегического подхода в практику городского управления и сделать Стратегию максимально конкретной, определить, с помощью каких механизмов, через реализацию каких мероприятий и проектов, за счет каких ресурсов могут быть достигнуты </w:t>
      </w:r>
      <w:r>
        <w:lastRenderedPageBreak/>
        <w:t>поставленные стратегические цели.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2016 год является годом рождения новой стратегии - Стратегии социально-экономического развития города до 2035 года (далее - Стратегии). Приступая к ее разработке, был проведен анализ реализации предыдущей стратегии 2006 - 2016. Были исследованы вопросы: что удалось достичь за десятилетие, где находятся самые проблемные зоны и узкие места, что помешало реализации всех намеченных планов. С целью вовлечения жителей в определение перспектив дальнейшего развития, на оживленных улицах и в общественных местах города Липецка был проведен опрос общественного мнения. Всего в опросе приняли участие около 1000 граждан старше 18 лет.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Завершающим этапом подготовки Стратегии стало проведение ряда стратегических сессий с привлечением широкого круга экспертов и заинтересованных участников, что позволило разработать концепцию Стратегии, конкретизировать приоритетные направления развития города и поставить долгосрочные стратегические цели по всем направлениям. По каждому приоритетному направлению была создана рабочая группа, в которую вошли представители всех заинтересованных сторон гражданского сообщества: населения, бизнеса, науки и власти. В активных дискуссиях вырабатывались первоочередные задачи по развитию города, ставились целевые показатели, рождались идеи и проекты по их реализации.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Стратегия разработана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28 июня 2014 года N 172-ФЗ "О стратегическом планировании в Российской Федерации",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РФ от 21 июля 2020 года N 474 "О национальных целях развития Российской Федерации на период до 2030 года", </w:t>
      </w:r>
      <w:hyperlink r:id="rId15">
        <w:r>
          <w:rPr>
            <w:color w:val="0000FF"/>
          </w:rPr>
          <w:t>Законом</w:t>
        </w:r>
      </w:hyperlink>
      <w:r>
        <w:t xml:space="preserve"> Липецкой области от 25 октября 2022 года N 207-ОЗ "Стратегия социально-экономического развития Липецкой области на период до 2030 года", </w:t>
      </w:r>
      <w:hyperlink r:id="rId16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Федерации, принятым решением Липецкого городского Совета депутатов от 24 февраля 2015 года N 990, </w:t>
      </w:r>
      <w:hyperlink r:id="rId17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15 февраля 2017 года N 174 "Об утверждении Порядка разработки, корректировки и мониторинга реализации Стратегии социально-экономического развития города Липецка и Плана мероприятий по реализации Стратегии социально-экономического развития города Липецка".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Стратегия разработана с учетом положений: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Указа</w:t>
        </w:r>
      </w:hyperlink>
      <w: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года";</w:t>
      </w:r>
    </w:p>
    <w:p w:rsidR="00BC7753" w:rsidRDefault="00BC775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Единого </w:t>
      </w:r>
      <w:hyperlink r:id="rId20">
        <w:r>
          <w:rPr>
            <w:color w:val="0000FF"/>
          </w:rPr>
          <w:t>плана</w:t>
        </w:r>
      </w:hyperlink>
      <w:r>
        <w:t xml:space="preserve">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1 октября 2021 года N 2765-р;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1">
        <w:r>
          <w:rPr>
            <w:color w:val="0000FF"/>
          </w:rPr>
          <w:t>Основ</w:t>
        </w:r>
      </w:hyperlink>
      <w:r>
        <w:t xml:space="preserve"> государственной политики в сфере стратегического планирования в Российской Федерации, утвержденных Указом Президента Российской Федерации от 8 ноября 2021 года N 633;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2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2 июля 2021 года N 400;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Стратегии</w:t>
        </w:r>
      </w:hyperlink>
      <w:r>
        <w:t xml:space="preserve"> экономической безопасности Российской Федерации на период до 2030 года, утвержденной Указом Президента Российской Федерации от 13 мая 2017 года N 208;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4">
        <w:r>
          <w:rPr>
            <w:color w:val="0000FF"/>
          </w:rPr>
          <w:t>Основ</w:t>
        </w:r>
      </w:hyperlink>
      <w:r>
        <w:t xml:space="preserve"> государственной политики регионального развития Российской Федерации на период до 2025 года, утвержденных Указом Президента Российской Федерации от 16 января 2017 года N 13;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5">
        <w:r>
          <w:rPr>
            <w:color w:val="0000FF"/>
          </w:rPr>
          <w:t>Стратегии</w:t>
        </w:r>
      </w:hyperlink>
      <w:r>
        <w:t xml:space="preserve">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N 1666;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26">
        <w:r>
          <w:rPr>
            <w:color w:val="0000FF"/>
          </w:rPr>
          <w:t>Стратегии</w:t>
        </w:r>
      </w:hyperlink>
      <w:r>
        <w:t xml:space="preserve">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N 207-р;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7">
        <w:r>
          <w:rPr>
            <w:color w:val="0000FF"/>
          </w:rPr>
          <w:t>Доктрины</w:t>
        </w:r>
      </w:hyperlink>
      <w:r>
        <w:t xml:space="preserve"> продовольственной безопасности Российской Федерации, утвержденной Указом Президента Российской Федерации от 21 января 2020 года N 20;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8">
        <w:r>
          <w:rPr>
            <w:color w:val="0000FF"/>
          </w:rPr>
          <w:t>Стратегии</w:t>
        </w:r>
      </w:hyperlink>
      <w:r>
        <w:t xml:space="preserve"> экологической безопасности Российской Федерации на период до 2025 года, утвержденной Указом Президента Российской Федерации от 19 апреля 2017 года N 176;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29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Российской Федерации с низким уровнем выбросов парниковых газов до 2050 года, утвержденной распоряжением Правительства Российской Федерации от 29 октября 2021 года N 3052-р;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0">
        <w:r>
          <w:rPr>
            <w:color w:val="0000FF"/>
          </w:rPr>
          <w:t>Доктрины</w:t>
        </w:r>
      </w:hyperlink>
      <w:r>
        <w:t xml:space="preserve"> энергетической безопасности Российской Федерации, утвержденной Указом Президента Российской Федерации от 13 мая 2019 года N 216;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Энергетической </w:t>
      </w:r>
      <w:hyperlink r:id="rId31">
        <w:r>
          <w:rPr>
            <w:color w:val="0000FF"/>
          </w:rPr>
          <w:t>стратегии</w:t>
        </w:r>
      </w:hyperlink>
      <w:r>
        <w:t xml:space="preserve"> Российской Федерации на период до 2035 года, утвержденной распоряжением Правительства Российской Федерации от 9 июня 2020 года N 1523-р;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2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Федерации, утвержденной Указом Президента Российской Федерации от 28 февраля 2024 года N 145;</w:t>
      </w:r>
    </w:p>
    <w:p w:rsidR="00BC7753" w:rsidRDefault="00BC775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Транспортной </w:t>
      </w:r>
      <w:hyperlink r:id="rId34">
        <w:r>
          <w:rPr>
            <w:color w:val="0000FF"/>
          </w:rPr>
          <w:t>стратегии</w:t>
        </w:r>
      </w:hyperlink>
      <w:r>
        <w:t xml:space="preserve"> Российской Федерации до 2030 года с прогнозом на период до 2035 года, утвержденной распоряжением Правительства Российской Федерации от 27 ноября 2021 года N 3363-р;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5">
        <w:r>
          <w:rPr>
            <w:color w:val="0000FF"/>
          </w:rPr>
          <w:t>Стратегии</w:t>
        </w:r>
      </w:hyperlink>
      <w:r>
        <w:t xml:space="preserve">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2 июня 2016 года N 1083-р;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6">
        <w:r>
          <w:rPr>
            <w:color w:val="0000FF"/>
          </w:rPr>
          <w:t>Концепции</w:t>
        </w:r>
      </w:hyperlink>
      <w:r>
        <w:t xml:space="preserve"> государственной миграционной политики Российской Федерации на 2019 - 2025 годы, утвержденной Указом Президента Российской Федерации от 31 октября 2018 года N 622;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7">
        <w:r>
          <w:rPr>
            <w:color w:val="0000FF"/>
          </w:rPr>
          <w:t>Стратегии</w:t>
        </w:r>
      </w:hyperlink>
      <w:r>
        <w:t xml:space="preserve"> развития информационного общества в Российской Федерации на 2017 - 2030 годы, утвержденной Указом Президента Российской Федерации от 9 мая 2017 года N 203;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8">
        <w:r>
          <w:rPr>
            <w:color w:val="0000FF"/>
          </w:rPr>
          <w:t>Стратегии</w:t>
        </w:r>
      </w:hyperlink>
      <w:r>
        <w:t xml:space="preserve"> развития здравоохранения в Российской Федерации на период до 2025 года, утвержденной Указом Президента Российской Федерации от 6 июня 2019 года N 254;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39">
        <w:r>
          <w:rPr>
            <w:color w:val="0000FF"/>
          </w:rPr>
          <w:t>Основ</w:t>
        </w:r>
      </w:hyperlink>
      <w:r>
        <w:t xml:space="preserve"> государственной молодежной политики Российской Федерации на период до 2025 года, утвержденных распоряжением Правительства Российской Федерации от 29 ноября 2014 года N 2403-р;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0">
        <w:r>
          <w:rPr>
            <w:color w:val="0000FF"/>
          </w:rPr>
          <w:t>Стратегии</w:t>
        </w:r>
      </w:hyperlink>
      <w:r>
        <w:t xml:space="preserve"> государственной культурной политики на период до 2030 года, утвержденной распоряжением Правительства Российской Федерации от 29 февраля 2016 года N 326-р;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1">
        <w:r>
          <w:rPr>
            <w:color w:val="0000FF"/>
          </w:rPr>
          <w:t>Стратегии</w:t>
        </w:r>
      </w:hyperlink>
      <w:r>
        <w:t xml:space="preserve"> государственной политики Российской Федерации в отношении российского казачества на 2021 - 2030 годы, утвержденной Указом Президента Российской Федерации от 9 августа 2020 года N 505;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42">
        <w:r>
          <w:rPr>
            <w:color w:val="0000FF"/>
          </w:rPr>
          <w:t>Стратегии</w:t>
        </w:r>
      </w:hyperlink>
      <w:r>
        <w:t xml:space="preserve"> развития туризма в Российской Федерации на период до 2035 года, утвержденной распоряжением Правительства Российской Федерации от 20 сентября 2019 года N 2129-р;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3">
        <w:r>
          <w:rPr>
            <w:color w:val="0000FF"/>
          </w:rPr>
          <w:t>Стратегии</w:t>
        </w:r>
      </w:hyperlink>
      <w:r>
        <w:t xml:space="preserve">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года N 3268-р;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4">
        <w:r>
          <w:rPr>
            <w:color w:val="0000FF"/>
          </w:rPr>
          <w:t>Концепции</w:t>
        </w:r>
      </w:hyperlink>
      <w:r>
        <w:t xml:space="preserve"> технологического развития на период до 2030 года, утвержденной распоряжением Правительства Российской Федерации от 20 мая 2023 года N 1315-р;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</w:t>
      </w:r>
      <w:hyperlink r:id="rId45">
        <w:r>
          <w:rPr>
            <w:color w:val="0000FF"/>
          </w:rPr>
          <w:t>Стратегии</w:t>
        </w:r>
      </w:hyperlink>
      <w:r>
        <w:t xml:space="preserve"> комплексной безопасности детей в Российской Федерации на период до 2030 года, утвержденной Указом Президента Российской Федерации от 17 мая 2023 года N 358;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прогноза социально-экономического развития Российской Федерации на период до 2036 года, разработанного Министерством экономического развития Российской Федерации.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Таким образом, Стратегия, родившаяся в результате плодотворных и конструктивных дискуссий, прошедшая путем открытого общественного обсуждения, является настоящим "продуктом общественного согласия", что позволяет надеяться на искреннюю заинтересованность всего городского сообщества в ее успешной реализации.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Итоги реализации Стратегического плана развития</w:t>
      </w:r>
    </w:p>
    <w:p w:rsidR="00BC7753" w:rsidRDefault="00BC7753">
      <w:pPr>
        <w:pStyle w:val="ConsPlusTitle"/>
        <w:jc w:val="center"/>
      </w:pPr>
      <w:r>
        <w:t>города Липецка до 2016 года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Стратегический план развития города Липецка до 2016 года разрабатывался в 2006 году.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Перспективные направления развития города представлены в нем в рамках трех основных блоков: "Городское хозяйство", "Производственно-хозяйственный комплекс" и "Социальная сфера", которые наполнены перечнем конкретных мероприятий.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Результативность реализации плана определяется на основе значений 33 показателей эффективности.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3742"/>
        <w:gridCol w:w="1361"/>
        <w:gridCol w:w="1134"/>
        <w:gridCol w:w="1134"/>
        <w:gridCol w:w="1134"/>
      </w:tblGrid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2005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01.01.2015 (факт)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2016 (план)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Численность постоянного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502,0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510,2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497,28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Комплексный индекс загрязнения атмосферы (КИЗА5)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8,99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менее 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7 - 13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Уровень безработицы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0,49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Среднедушевые денежные доходы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рублей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25200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16000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больничными койками на 10 тыс.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шт.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36,4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</w:tr>
      <w:tr w:rsidR="00BC7753">
        <w:tc>
          <w:tcPr>
            <w:tcW w:w="533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42" w:type="dxa"/>
            <w:vMerge w:val="restart"/>
          </w:tcPr>
          <w:p w:rsidR="00BC7753" w:rsidRDefault="00BC7753">
            <w:pPr>
              <w:pStyle w:val="ConsPlusNormal"/>
            </w:pPr>
            <w:r>
              <w:t>Амбулаторно-поликлинические учреждения</w:t>
            </w:r>
          </w:p>
        </w:tc>
        <w:tc>
          <w:tcPr>
            <w:tcW w:w="1361" w:type="dxa"/>
            <w:tcBorders>
              <w:bottom w:val="nil"/>
            </w:tcBorders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  <w:tcBorders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33</w:t>
            </w:r>
          </w:p>
        </w:tc>
      </w:tr>
      <w:tr w:rsidR="00BC7753">
        <w:tblPrEx>
          <w:tblBorders>
            <w:insideH w:val="nil"/>
          </w:tblBorders>
        </w:tblPrEx>
        <w:tc>
          <w:tcPr>
            <w:tcW w:w="533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3742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</w:pPr>
            <w:r>
              <w:t>пл. мощ.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16835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16800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17635</w:t>
            </w:r>
          </w:p>
        </w:tc>
      </w:tr>
      <w:tr w:rsidR="00BC7753">
        <w:tc>
          <w:tcPr>
            <w:tcW w:w="533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3742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BC7753" w:rsidRDefault="00BC7753">
            <w:pPr>
              <w:pStyle w:val="ConsPlusNormal"/>
            </w:pPr>
            <w:r>
              <w:t>посещ.</w:t>
            </w:r>
          </w:p>
        </w:tc>
        <w:tc>
          <w:tcPr>
            <w:tcW w:w="1134" w:type="dxa"/>
            <w:tcBorders>
              <w:top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6422997</w:t>
            </w:r>
          </w:p>
        </w:tc>
        <w:tc>
          <w:tcPr>
            <w:tcW w:w="1134" w:type="dxa"/>
            <w:tcBorders>
              <w:top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4154777</w:t>
            </w:r>
          </w:p>
        </w:tc>
        <w:tc>
          <w:tcPr>
            <w:tcW w:w="1134" w:type="dxa"/>
            <w:tcBorders>
              <w:top w:val="nil"/>
            </w:tcBorders>
          </w:tcPr>
          <w:p w:rsidR="00BC7753" w:rsidRDefault="00BC7753">
            <w:pPr>
              <w:pStyle w:val="ConsPlusNormal"/>
              <w:jc w:val="center"/>
            </w:pPr>
            <w:r>
              <w:t>6539000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 xml:space="preserve">Обеспеченность врачами на 10 тыс. </w:t>
            </w:r>
            <w:r>
              <w:lastRenderedPageBreak/>
              <w:t>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41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среднемедицинскими работниками на 10 тыс.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94,1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62,4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114,3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Среднее время приезда скорой помощи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мин.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детей дошкольного возраста местами в дошкольных учреждениях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92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учреждений дошкольного образования педагогическими кадрами (воспитатели)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98,8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Численность учащихся государственных школ, занимающихся в первую смену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70,7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79,8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Охват детей образованием повышенного уровня (лицеи, гимназии, профильное обучение)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36,3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Охват детей образованием в режиме "полного дня"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14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</w:pP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спортивно-оздоровительными учреждениями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спортивными залами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23,2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26,8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бассейнами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5,3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плоскостными спортивными сооружениями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Доля городского населения, организованно занимающегося физкультурой и спортом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Доля учащихся в музыкальных, художественных школах и школах искусств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15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жильем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кв. м/на 1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24,4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Ввод нового жилья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кв. м/на 1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0,53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0,8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Доля ветхого жилищного фонда во всем жилищном фонде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0,569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0,1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Индекс промышленного производства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- &lt;*&gt;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малых предприятий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5538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10794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индивидуальных предпринимателей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чел.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27,0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Число основных телефонных аппаратов телефонной сети общего пользования - всего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182,38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152,24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213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абонентов сети Интернет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тыс. аб.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133,6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62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Количество подвижного состава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1048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1257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Протяженность маршрутной сети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км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1132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1273,0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1290,7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Оборот розничной торговли по крупным и средним предприятиям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млн руб.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8143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51800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18000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торговыми площадями на 1000 жителей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кв. м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700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Обеспеченность посадочными местами в открытой сети предприятий общественного питания на 1000 жителей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ед.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</w:tr>
      <w:tr w:rsidR="00BC7753">
        <w:tc>
          <w:tcPr>
            <w:tcW w:w="533" w:type="dxa"/>
          </w:tcPr>
          <w:p w:rsidR="00BC7753" w:rsidRDefault="00BC775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42" w:type="dxa"/>
          </w:tcPr>
          <w:p w:rsidR="00BC7753" w:rsidRDefault="00BC7753">
            <w:pPr>
              <w:pStyle w:val="ConsPlusNormal"/>
            </w:pPr>
            <w:r>
              <w:t>Объем бытовых услуг на душу населения</w:t>
            </w:r>
          </w:p>
        </w:tc>
        <w:tc>
          <w:tcPr>
            <w:tcW w:w="1361" w:type="dxa"/>
          </w:tcPr>
          <w:p w:rsidR="00BC7753" w:rsidRDefault="00BC7753">
            <w:pPr>
              <w:pStyle w:val="ConsPlusNormal"/>
            </w:pPr>
            <w:r>
              <w:t>руб.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2716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- &lt;*&gt;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6000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--------------------------------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&lt;*&gt; Показатель не рассчитывается Территориальным органом Федеральной службы государственной статистики по Липецкой области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На основании приведенных в таблице данных можно сделать вывод о фактическом достижении и перевыполнении 55% плановых показателей.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Так, на 2016 год прогнозировался демографический спад, однако в 2014 году население Липецка превысило отметку 510 тысяч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Аналогичным образом ситуация сложилась и с обеспеченностью спортивно-оздоровительными учреждениями (спортивные залы, бассейны). Улучшение инфраструктурного обеспечения произошло за счет ввода в эксплуатацию новых объектов как муниципалитетом, так и частными инвесторами.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Рекордно низкий уровень комплексного индекса загрязнения атмосферы (менее 5) для города Липецка зафиксирован в 2014 году. Это - во многом результат системной и успешной работы ПАО "НЛМК" по сокращению воздействия на окружающую среду в рамках "Экологической программы 2020". Металлургическим гигантом был реализован целый ряд природоохранных мероприятий, которые позволили предприятию не только нивелировать воздействие на атмосферу, вызванное ростом производства, но и сократить его.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Выше прогнозируемого оказался рост среднемесячных доходов на душу населения, которые </w:t>
      </w:r>
      <w:r>
        <w:lastRenderedPageBreak/>
        <w:t>сегодня составляют более 25 тысяч рублей. Превышены плановые значения по показателям обеспеченности жильем на 1,6% и вводу нового жилья на одного жителя на 25%.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потребительского рынка характеризуется положительной динамикой. Обеспеченность населения торговыми площадями в 2014 году превысила нормативный уровень на 6,8% и составила 648 кв. м на тысячу человек. Оборот розничной торговли по крупным и средним предприятиям практически в три раза превысил значение, которое предполагалось достичь в 2016 году.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Однако по количеству индивидуальных предпринимателей плановые значения достигнуты не были. К 2016 году людей, занимающихся этой деятельностью, должно было быть не менее 27 тысяч, но по факту 2014 года можно сделать вывод о том, что заявленной "нормы" достигнуть не удастся. Это обусловлено прежде всего тем, что в 2011 году в 2 раза увеличились ставки по страховым взносам, в результате большинство индивидуальных предпринимателей изменили организационно-правовую форму собственности. Также на величину данного показателя повлияла корректировка налоговыми органами базы налогоплательщиков в части исключения из своих реестров предпринимателей, фактически не осуществляющих деятельность.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Обеспеченность больничными койками характеризует потенциальные возможности здравоохранения города Липецка. Снижение данного показателя в 2014 году связано с реструктуризацией и оптимизацией сети лечебных учреждений.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Снижение охвата детей образованием повышенного уровня обусловлено необходимостью приведения правового статуса общеобразовательных учреждений в соответствие с требованиями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 декабря 2012 года N 273-ФЗ "Об образовании в Российской Федерации", отменившего существующую до 2013 года их видовую классификацию.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Доля детей, обучающихся в образовательных учреждениях во вторую смену, ежегодно сокращалась, но запланированного результата по данному показателю достичь не удалось в связи с ежегодным (с 2009 года) увеличением контингента школьников в среднем на тысячу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Также для итоговой оценки действующей Стратегии использовались результаты социологических опросов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Первый опрос был проведен в начале 2006 года, то есть в период разработки Стратегического плана, второй - в конце 2015 года, третий - в декабре 2022 - январе 2023 годов.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Сравнивая итоги исследований, можно сделать следующие выводы: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 городе в основном преобладает коренное население, большая часть которого родилась в Липецке и уезжать не собирается. В то же время за 9 лет доля респондентов, которые готовы сменить место жительства при определенных условиях, увеличилась с 5% до 22%. Реальные планы по переезду имеют 6%, тогда как ранее к этому был готов только 1% населения;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среди причин, по которым люди хотят уехать, основными являются: "перспективная работа и рост карьеры" - 46%; для 29% отъезд связан с учебой и будущим детей. Для 25% респондентов "экологическое состояние окружающей среды" также является веской причиной для смены места жительства;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 вопрос "Сколько всего детей планируется иметь в вашей семье?" ответы распределились следующим образом: 82% респондентов "не планируют больше появление детей в своей семье", 13% планируют, что в их семье будет не больше одного ребенка, 3% - что не больше двух, 2% намерены иметь троих детей. Необходимо отметить, что ранее рождение двоих детей предусматривали 11% респондентов.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По-прежнему среднемесячный доход семьи в основном тратится на питание - 43% и </w:t>
      </w:r>
      <w:r>
        <w:lastRenderedPageBreak/>
        <w:t>коммунальные услуги - 28%. Доля расходов граждан на образование и организацию досуга увеличилась с 6% до 10% и с 4% до 12% соответственно.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Определение самими респондентами своего материального благосостояния в сравнении с официальным прожиточным минимумом, установленным на региональном уровне, свидетельствует, что ниже прожиточного минимума проживает 28% опрошенных, выше - 26%, на уровне прожиточного минимума - 43%.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прошедшие 9 лет доля респондентов, проживающих на уровне прожиточного минимума, увеличилась на 10%. Данные результаты нельзя однозначно отнести к разряду позитивных, так как количество липчан, проживающих ниже прожиточного минимума, практически не изменилось, а доля граждан, оценивающих свой доход выше данной величины, снизилась на 15%.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Определяя свое материальное положение безотносительно официального минимума, оценки людей становятся более категоричными: 57% считают, что живут обеспеченно, к бедным причисляет себя 21%.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 субъективная, и объективная оценки своего материального положения свидетельствуют о том, что большинство липчан причисляют себя к категории средне обеспеченных граждан.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Как и несколько лет назад, "постоянная нехватка денег" является основной причиной неудовлетворенности от жизни. Но нельзя не отметить, что доля граждан, которые испытывают дефицит финансовых ресурсов, снизилась на 11%. Особенно остро переживают эту проблему возрастные категории от 50 лет и старше. Вторая по значимости причина, негативно влияющая на социальное самочувствие респондентов, - отсутствие хорошей работы. Наиболее этим обеспокоены липчане в возрасте от 18 до 35 лет. Ранее отсутствие работы волновало 9% респондентов, сейчас их доля увеличилась до 23%. Плохим состоянием здоровья озабочены только 8% опрошенных, как и прежде, это люди старше 50 лет. На 6% снизилось число горожан, не удовлетворенных состоянием жилищных условий, сейчас их 11%.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Практически половина опрошенных считают, что "материальное благополучие человека" зависит от самого человека, 34% - от экономической обстановки, остальные связывают его с работой органов власти.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Около 77% респондентов ответили, что довольны своей жизнью, 23% - частично или совсем недовольны. Но в целом перевес оптимистических настроений над пессимистическими преобладает довольно значительно. Следует отметить, что позитивно настроенных граждан стало больше на 18%.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Оценить динамику развития города за последние 10 лет не смогли 36% липчан.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Жизнь в городе "изменилась к лучшему" - так считает только треть участников опроса, тогда как ранее в позитивных изменениях были уверены 67%.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Итоги социологического опроса показали, что для населения наиболее значимыми являются следующие направления: условия проживания, здоровье, экологическая обстановка, состояние транспортной инфраструктуры, проблемы детей, социальная защита, воспринимаемая как страховка и помощь от государства.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17% снизилась доля липчан, считающих, что "охране общественного порядка" надо уделять больше внимания. В то же время значительно увеличилось количество респондентов, которые хотят, чтобы больше усилий было направлено на "работу общественного транспорта" и "содержание дорог".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Основными приоритетами социально-экономической политики города для повышения уровня жизни из представленного анкетного выбора, по мнению респондентов, являются: </w:t>
      </w:r>
      <w:r>
        <w:lastRenderedPageBreak/>
        <w:t>"создание условий для решения жилищных проблем" - 51%, "развитие производственной сферы" - 36%, а также "создание условий для всестороннего развития личности" - 36%.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ближайшие 20 лет, в результате реализации Стратегии социально-экономического развития города, 51% липчан хотели бы видеть Липецк "крупным промышленным центром с многоотраслевой экономикой". Кардинальная смена стратегического развития города, будь то развитие города как туристического либо как образовательного центра Центральной России, находит поддержку только у 22% и 14% опрошенных соответственно.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36% респондентов уверены, что через 20 лет жизнь в городе "изменится к лучшему", 42% затруднились делать прогноз, 6% ожидают ухудшения ситуации, а 16% считают, что ничего меняться не будет.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Опрос 2023 года показал, что более половины липчан-участников опроса сошлись во мнении, что на текущий момент вопросы развития дорожной инфраструктуры и обновление новой социальной инфраструктуры требуют наиболее пристального внимания. Большинство респондентов считают, что дальнейшее развитие города Липецка необходимо осуществлять, акцентируясь на социальную и экологическую стороны. Соответственно, все изменения должны осуществляться, придерживаясь принципов экологичности и основываясь на крепкой социальной базе.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Анализ конкурентоспособности города Липецка</w:t>
      </w:r>
    </w:p>
    <w:p w:rsidR="00BC7753" w:rsidRDefault="00BC7753">
      <w:pPr>
        <w:pStyle w:val="ConsPlusTitle"/>
        <w:jc w:val="center"/>
      </w:pPr>
      <w:r>
        <w:t>(SWOT-анализ по отраслям)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4535"/>
      </w:tblGrid>
      <w:tr w:rsidR="00BC7753">
        <w:tc>
          <w:tcPr>
            <w:tcW w:w="9071" w:type="dxa"/>
            <w:gridSpan w:val="2"/>
          </w:tcPr>
          <w:p w:rsidR="00BC7753" w:rsidRDefault="00BC7753">
            <w:pPr>
              <w:pStyle w:val="ConsPlusNormal"/>
              <w:jc w:val="center"/>
            </w:pPr>
            <w:r>
              <w:t>Социальная сфера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Сильные стороны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Слабые стороны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относительно высокий уровень продолжительности жизни;</w:t>
            </w:r>
          </w:p>
          <w:p w:rsidR="00BC7753" w:rsidRDefault="00BC7753">
            <w:pPr>
              <w:pStyle w:val="ConsPlusNormal"/>
            </w:pPr>
            <w:r>
              <w:t>- качественная система выявления, поддержки и развития способностей у детей и молодежи, развитая система дополнительного образования;</w:t>
            </w:r>
          </w:p>
          <w:p w:rsidR="00BC7753" w:rsidRDefault="00BC7753">
            <w:pPr>
              <w:pStyle w:val="ConsPlusNormal"/>
            </w:pPr>
            <w:r>
              <w:t>- наличие системы общественного самоуправления с активным привлечением молодежи;</w:t>
            </w:r>
          </w:p>
          <w:p w:rsidR="00BC7753" w:rsidRDefault="00BC7753">
            <w:pPr>
              <w:pStyle w:val="ConsPlusNormal"/>
            </w:pPr>
            <w:r>
              <w:t>- качественная культурная компонента;</w:t>
            </w:r>
          </w:p>
          <w:p w:rsidR="00BC7753" w:rsidRDefault="00BC7753">
            <w:pPr>
              <w:pStyle w:val="ConsPlusNormal"/>
            </w:pPr>
            <w:r>
              <w:t>- наличие высших учебных заведений различной профильной направленности;</w:t>
            </w:r>
          </w:p>
          <w:p w:rsidR="00BC7753" w:rsidRDefault="00BC7753">
            <w:pPr>
              <w:pStyle w:val="ConsPlusNormal"/>
            </w:pPr>
            <w:r>
              <w:t>- интеграция населения в систему управления городскими территориями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депопуляция населения обусловлена естественной убылью, которая не компенсируется миграционным приростом;</w:t>
            </w:r>
          </w:p>
          <w:p w:rsidR="00BC7753" w:rsidRDefault="00BC7753">
            <w:pPr>
              <w:pStyle w:val="ConsPlusNormal"/>
            </w:pPr>
            <w:r>
              <w:t>- недостаточная обеспеченность населения объектами социальной сферы в ряде микрорайонов города, а также устаревание материально-технической оснащенности данных объектов;</w:t>
            </w:r>
          </w:p>
          <w:p w:rsidR="00BC7753" w:rsidRDefault="00BC7753">
            <w:pPr>
              <w:pStyle w:val="ConsPlusNormal"/>
            </w:pPr>
            <w:r>
              <w:t>- "старение" кадров в социальной сфере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Возможности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Риски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формирование опережающего социального заказа на переподготовку высвобождающихся трудовых ресурсов высшими и профессиональными учебными заведениями;</w:t>
            </w:r>
          </w:p>
          <w:p w:rsidR="00BC7753" w:rsidRDefault="00BC7753">
            <w:pPr>
              <w:pStyle w:val="ConsPlusNormal"/>
            </w:pPr>
            <w:r>
              <w:t>- значительный туристско-рекреационный потенциал, в том числе промышленный туризм;</w:t>
            </w:r>
          </w:p>
          <w:p w:rsidR="00BC7753" w:rsidRDefault="00BC7753">
            <w:pPr>
              <w:pStyle w:val="ConsPlusNormal"/>
            </w:pPr>
            <w:r>
              <w:t>- формирование потребности у населения в здоровом образе жизни;</w:t>
            </w:r>
          </w:p>
          <w:p w:rsidR="00BC7753" w:rsidRDefault="00BC7753">
            <w:pPr>
              <w:pStyle w:val="ConsPlusNormal"/>
            </w:pPr>
            <w:r>
              <w:lastRenderedPageBreak/>
              <w:t>- повышение качества жизни пожилых людей;</w:t>
            </w:r>
          </w:p>
          <w:p w:rsidR="00BC7753" w:rsidRDefault="00BC7753">
            <w:pPr>
              <w:pStyle w:val="ConsPlusNormal"/>
            </w:pPr>
            <w:r>
              <w:t>- развитие волонтерства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lastRenderedPageBreak/>
              <w:t>- высокая конкуренция за мигрантов с соседними областями;</w:t>
            </w:r>
          </w:p>
          <w:p w:rsidR="00BC7753" w:rsidRDefault="00BC7753">
            <w:pPr>
              <w:pStyle w:val="ConsPlusNormal"/>
            </w:pPr>
            <w:r>
              <w:t>- обеспечение оборудованием для научных исследований, цифровизации, сохранения и развития кадрового потенциала, экспорта образования;</w:t>
            </w:r>
          </w:p>
          <w:p w:rsidR="00BC7753" w:rsidRDefault="00BC7753">
            <w:pPr>
              <w:pStyle w:val="ConsPlusNormal"/>
            </w:pPr>
            <w:r>
              <w:t>- отток населения в соседние муниципальные образования в связи с популярностью ИЖС;</w:t>
            </w:r>
          </w:p>
          <w:p w:rsidR="00BC7753" w:rsidRDefault="00BC7753">
            <w:pPr>
              <w:pStyle w:val="ConsPlusNormal"/>
            </w:pPr>
            <w:r>
              <w:t>- утеря объектов, имеющих культурно-</w:t>
            </w:r>
            <w:r>
              <w:lastRenderedPageBreak/>
              <w:t>историческое значение и являющихся базой для развития туризма;</w:t>
            </w:r>
          </w:p>
          <w:p w:rsidR="00BC7753" w:rsidRDefault="00BC7753">
            <w:pPr>
              <w:pStyle w:val="ConsPlusNormal"/>
            </w:pPr>
            <w:r>
              <w:t>- отток активной молодежи в крупные города с более привлекательными условиями трудоустройства и досуга</w:t>
            </w:r>
          </w:p>
        </w:tc>
      </w:tr>
      <w:tr w:rsidR="00BC7753">
        <w:tc>
          <w:tcPr>
            <w:tcW w:w="9071" w:type="dxa"/>
            <w:gridSpan w:val="2"/>
          </w:tcPr>
          <w:p w:rsidR="00BC7753" w:rsidRDefault="00BC7753">
            <w:pPr>
              <w:pStyle w:val="ConsPlusNormal"/>
              <w:jc w:val="center"/>
            </w:pPr>
            <w:r>
              <w:lastRenderedPageBreak/>
              <w:t>Городское хозяйство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Сильные стороны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Слабые стороны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развитая транспортная система с выходом на федеральные трассы;</w:t>
            </w:r>
          </w:p>
          <w:p w:rsidR="00BC7753" w:rsidRDefault="00BC7753">
            <w:pPr>
              <w:pStyle w:val="ConsPlusNormal"/>
            </w:pPr>
            <w:r>
              <w:t>- формирование "безбарьерной" среды";</w:t>
            </w:r>
          </w:p>
          <w:p w:rsidR="00BC7753" w:rsidRDefault="00BC7753">
            <w:pPr>
              <w:pStyle w:val="ConsPlusNormal"/>
            </w:pPr>
            <w:r>
              <w:t>- развитие экологических видов транспорта;</w:t>
            </w:r>
          </w:p>
          <w:p w:rsidR="00BC7753" w:rsidRDefault="00BC7753">
            <w:pPr>
              <w:pStyle w:val="ConsPlusNormal"/>
            </w:pPr>
            <w:r>
              <w:t>- устойчивое функционирование инженерно-коммунальной инфраструктуры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сложная транспортная ситуация;</w:t>
            </w:r>
          </w:p>
          <w:p w:rsidR="00BC7753" w:rsidRDefault="00BC7753">
            <w:pPr>
              <w:pStyle w:val="ConsPlusNormal"/>
            </w:pPr>
            <w:r>
              <w:t>- высокая степень изношенности коммунальных сетей и жилищного фонда;</w:t>
            </w:r>
          </w:p>
          <w:p w:rsidR="00BC7753" w:rsidRDefault="00BC7753">
            <w:pPr>
              <w:pStyle w:val="ConsPlusNormal"/>
            </w:pPr>
            <w:r>
              <w:t>- интересы экономического развития преобладают над вопросами бережного отношения к природной среде, низкий уровень экологической культуры населения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Возможности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Риски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развитие межмуниципальной транспортной инфраструктуры;</w:t>
            </w:r>
          </w:p>
          <w:p w:rsidR="00BC7753" w:rsidRDefault="00BC7753">
            <w:pPr>
              <w:pStyle w:val="ConsPlusNormal"/>
            </w:pPr>
            <w:r>
              <w:t>- использование цифровых технологий во всех сферах городского хозяйства;</w:t>
            </w:r>
          </w:p>
          <w:p w:rsidR="00BC7753" w:rsidRDefault="00BC7753">
            <w:pPr>
              <w:pStyle w:val="ConsPlusNormal"/>
            </w:pPr>
            <w:r>
              <w:t>- развитие раздельного сбора мусора с целью извлечения вторичного сырья из отходов и переработка в готовую продукцию;</w:t>
            </w:r>
          </w:p>
          <w:p w:rsidR="00BC7753" w:rsidRDefault="00BC7753">
            <w:pPr>
              <w:pStyle w:val="ConsPlusNormal"/>
            </w:pPr>
            <w:r>
              <w:t>- реновация промышленных и жилых районов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увеличение объемов аварийного жилищного фонда;</w:t>
            </w:r>
          </w:p>
          <w:p w:rsidR="00BC7753" w:rsidRDefault="00BC7753">
            <w:pPr>
              <w:pStyle w:val="ConsPlusNormal"/>
            </w:pPr>
            <w:r>
              <w:t>- проблемы очистки сточных вод и утилизации осадков;</w:t>
            </w:r>
          </w:p>
          <w:p w:rsidR="00BC7753" w:rsidRDefault="00BC7753">
            <w:pPr>
              <w:pStyle w:val="ConsPlusNormal"/>
            </w:pPr>
            <w:r>
              <w:t>- повышение нагрузки на инфраструктуру из-за увеличения уровня автомобилизации населения;</w:t>
            </w:r>
          </w:p>
          <w:p w:rsidR="00BC7753" w:rsidRDefault="00BC7753">
            <w:pPr>
              <w:pStyle w:val="ConsPlusNormal"/>
            </w:pPr>
            <w:r>
              <w:t>- сокращения спроса на жилищное строительство и темпов его роста;</w:t>
            </w:r>
          </w:p>
          <w:p w:rsidR="00BC7753" w:rsidRDefault="00BC7753">
            <w:pPr>
              <w:pStyle w:val="ConsPlusNormal"/>
            </w:pPr>
            <w:r>
              <w:t>- дефицит земельных участков под застройку</w:t>
            </w:r>
          </w:p>
        </w:tc>
      </w:tr>
      <w:tr w:rsidR="00BC7753">
        <w:tc>
          <w:tcPr>
            <w:tcW w:w="9071" w:type="dxa"/>
            <w:gridSpan w:val="2"/>
          </w:tcPr>
          <w:p w:rsidR="00BC7753" w:rsidRDefault="00BC7753">
            <w:pPr>
              <w:pStyle w:val="ConsPlusNormal"/>
              <w:jc w:val="center"/>
            </w:pPr>
            <w:r>
              <w:t>Экономика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Сильные стороны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Слабые стороны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- выгодное географическое положение;</w:t>
            </w:r>
          </w:p>
          <w:p w:rsidR="00BC7753" w:rsidRDefault="00BC7753">
            <w:pPr>
              <w:pStyle w:val="ConsPlusNormal"/>
            </w:pPr>
            <w:r>
              <w:t>- привлекательность города для компаний федерального уровня;</w:t>
            </w:r>
          </w:p>
          <w:p w:rsidR="00BC7753" w:rsidRDefault="00BC7753">
            <w:pPr>
              <w:pStyle w:val="ConsPlusNormal"/>
            </w:pPr>
            <w:r>
              <w:t>- участие в реализации федеральных программ;</w:t>
            </w:r>
          </w:p>
          <w:p w:rsidR="00BC7753" w:rsidRDefault="00BC7753">
            <w:pPr>
              <w:pStyle w:val="ConsPlusNormal"/>
            </w:pPr>
            <w:r>
              <w:t>- наличие устойчиво функционирующих предприятий, обеспечивающих стабильное поступление налогов в бюджет и рабочие места для населения;</w:t>
            </w:r>
          </w:p>
          <w:p w:rsidR="00BC7753" w:rsidRDefault="00BC7753">
            <w:pPr>
              <w:pStyle w:val="ConsPlusNormal"/>
            </w:pPr>
            <w:r>
              <w:t>- емкий потребительский рынок;</w:t>
            </w:r>
          </w:p>
          <w:p w:rsidR="00BC7753" w:rsidRDefault="00BC7753">
            <w:pPr>
              <w:pStyle w:val="ConsPlusNormal"/>
            </w:pPr>
            <w:r>
              <w:t>- высокая доля населения трудоспособного возраста;</w:t>
            </w:r>
          </w:p>
          <w:p w:rsidR="00BC7753" w:rsidRDefault="00BC7753">
            <w:pPr>
              <w:pStyle w:val="ConsPlusNormal"/>
            </w:pPr>
            <w:r>
              <w:t>- сохранение темпов роста среднемесячной заработной платы;</w:t>
            </w:r>
          </w:p>
          <w:p w:rsidR="00BC7753" w:rsidRDefault="00BC7753">
            <w:pPr>
              <w:pStyle w:val="ConsPlusNormal"/>
            </w:pPr>
            <w:r>
              <w:t>- финансовая грамотность населения;</w:t>
            </w:r>
          </w:p>
          <w:p w:rsidR="00BC7753" w:rsidRDefault="00BC7753">
            <w:pPr>
              <w:pStyle w:val="ConsPlusNormal"/>
            </w:pPr>
            <w:r>
              <w:t>- активная реализация государственных программ поддержки малоимущих граждан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моноотраслевая структура экономики;</w:t>
            </w:r>
          </w:p>
          <w:p w:rsidR="00BC7753" w:rsidRDefault="00BC7753">
            <w:pPr>
              <w:pStyle w:val="ConsPlusNormal"/>
            </w:pPr>
            <w:r>
              <w:t>- низкие темпы инновационного развития;</w:t>
            </w:r>
          </w:p>
          <w:p w:rsidR="00BC7753" w:rsidRDefault="00BC7753">
            <w:pPr>
              <w:pStyle w:val="ConsPlusNormal"/>
            </w:pPr>
            <w:r>
              <w:t>- слабая конкуренция на рынке труда вследствие низкого уровня безработицы;</w:t>
            </w:r>
          </w:p>
          <w:p w:rsidR="00BC7753" w:rsidRDefault="00BC7753">
            <w:pPr>
              <w:pStyle w:val="ConsPlusNormal"/>
            </w:pPr>
            <w:r>
              <w:t>- высокая степень зависимости бюджета города от региональных и федеральных трансфертов;</w:t>
            </w:r>
          </w:p>
          <w:p w:rsidR="00BC7753" w:rsidRDefault="00BC7753">
            <w:pPr>
              <w:pStyle w:val="ConsPlusNormal"/>
            </w:pPr>
            <w:r>
              <w:t>- недостаток квалифицированных кадров рабочих специальностей;</w:t>
            </w:r>
          </w:p>
          <w:p w:rsidR="00BC7753" w:rsidRDefault="00BC7753">
            <w:pPr>
              <w:pStyle w:val="ConsPlusNormal"/>
            </w:pPr>
            <w:r>
              <w:t>- сокращение внутреннего рынка, связанное с сокращением численности населения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t>Возможности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Риски</w:t>
            </w:r>
          </w:p>
        </w:tc>
      </w:tr>
      <w:tr w:rsidR="00BC7753">
        <w:tc>
          <w:tcPr>
            <w:tcW w:w="4536" w:type="dxa"/>
          </w:tcPr>
          <w:p w:rsidR="00BC7753" w:rsidRDefault="00BC7753">
            <w:pPr>
              <w:pStyle w:val="ConsPlusNormal"/>
            </w:pPr>
            <w:r>
              <w:lastRenderedPageBreak/>
              <w:t>- диверсификация экономики города благодаря развитию промышленных кластеров, расположенных на территории города и Липецко-Елецкой агломерации;</w:t>
            </w:r>
          </w:p>
          <w:p w:rsidR="00BC7753" w:rsidRDefault="00BC7753">
            <w:pPr>
              <w:pStyle w:val="ConsPlusNormal"/>
            </w:pPr>
            <w:r>
              <w:t>- повышение инвестиционной привлекательности города;</w:t>
            </w:r>
          </w:p>
          <w:p w:rsidR="00BC7753" w:rsidRDefault="00BC7753">
            <w:pPr>
              <w:pStyle w:val="ConsPlusNormal"/>
            </w:pPr>
            <w:r>
              <w:t>- привлечение средств из внебюджетных источников и бюджетов вышестоящих уровней в экономику города;</w:t>
            </w:r>
          </w:p>
          <w:p w:rsidR="00BC7753" w:rsidRDefault="00BC7753">
            <w:pPr>
              <w:pStyle w:val="ConsPlusNormal"/>
            </w:pPr>
            <w:r>
              <w:t>- наличие свободных площадей и территорий для размещения производственных объектов</w:t>
            </w:r>
          </w:p>
        </w:tc>
        <w:tc>
          <w:tcPr>
            <w:tcW w:w="4535" w:type="dxa"/>
          </w:tcPr>
          <w:p w:rsidR="00BC7753" w:rsidRDefault="00BC7753">
            <w:pPr>
              <w:pStyle w:val="ConsPlusNormal"/>
            </w:pPr>
            <w:r>
              <w:t>- финансово-экономические проблемы, связанные с введением санкций со стороны западных стран;</w:t>
            </w:r>
          </w:p>
          <w:p w:rsidR="00BC7753" w:rsidRDefault="00BC7753">
            <w:pPr>
              <w:pStyle w:val="ConsPlusNormal"/>
            </w:pPr>
            <w:r>
              <w:t>- дисбаланс спроса и предложения на квалифицированных специалистов;</w:t>
            </w:r>
          </w:p>
          <w:p w:rsidR="00BC7753" w:rsidRDefault="00BC7753">
            <w:pPr>
              <w:pStyle w:val="ConsPlusNormal"/>
            </w:pPr>
            <w:r>
              <w:t>- снижение числа предприятий, осуществляющих инновационную деятельность, за счет их оттока в другие регионы с более привлекательной инновационной средой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Цели развития города Липецка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Стратегические приоритеты и направления устойчивого социально-экономического развития города Липецка на долгосрочную перспективу определяются необходимостью максимально эффективного использования существующих возможностей в сочетании с минимизацией объективных внешних и внутренних ограничений 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Основная стратегическая цель - устойчивый рост качества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основе качества жизни населения лежат: обеспечение рабочими местами, доход, гарантирующий приемлемый уровень благосостояния, высокое качество медицинского обслуживания, основных социальных услуг. Кроме того, качество жизни предполагает возможность для всех членов общества участвовать в принятии жизненно важных решений для города и использование возможностей, предоставляемых социальными, экономическими и политическими свободами.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Основная стратегическая цель реализуется через достижение стратегических целей.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1. Сохранение населения, укрепление здоровья и повышение благополучия людей, поддержка семьи.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2. 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3. Комфортная и безопасная среда для жизни.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4. Экологическое благополучие.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5. Устойчивая и динамичная экономика.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6. Технологическое лидерство.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Стратегическая цель 7. Цифровая трансформация государственного и муниципального управления, экономики и социальной сферы.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Неопределенность прогноза внешних условий обуславливает необходимость использования сценарных вариантов реализации Стратегии: инерционный (сценарий жестких ресурсных ограничений); базовый (сценарий умеренных ресурсных ограничений) и оптимистический (сценарий мягких ресурсных ограничений).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lastRenderedPageBreak/>
        <w:t>Стратегические направления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1. Демографическая политика и здравоохранение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данным управления Федеральной службы государственной статистики по Липецкой области по состоянию на 01.01.2022 в городе Липецке сосредоточено около 44,6% населения Липецкой области и занимает 5 место в списке крупных городов ЦФО, уступая двум городам-миллионникам Москве и Воронежу и двум городам-полумиллионникам Ярославлю и Рязани.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отмечается сокращение численности населения. В 2021 году численность населения впервые за последние годы упала ниже 500 тысяч человек и на 01.01.2022 составила 496 447 человек.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1 - Численность населения города Липецка, тыс. чел.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187"/>
        </w:rPr>
        <w:drawing>
          <wp:inline distT="0" distB="0" distL="0" distR="0">
            <wp:extent cx="5545455" cy="25146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Возрастно-половая пирамида города Липецка отражает несколько особенностей воспроизводства населения. Снижение численности населения в возрастной категории 20 - 29 лет связано с демографическим кризисом 90-х гг. XX в. Наибольшая численность населения наблюдается в возрастной категории 35 - 39 лет.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2 - Возрастно-половой состав населения города</w:t>
      </w:r>
    </w:p>
    <w:p w:rsidR="00BC7753" w:rsidRDefault="00BC7753">
      <w:pPr>
        <w:pStyle w:val="ConsPlusNormal"/>
        <w:jc w:val="center"/>
      </w:pPr>
      <w:r>
        <w:t>Липецка на 1 января 2022 года, человек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247"/>
        </w:rPr>
        <w:lastRenderedPageBreak/>
        <w:drawing>
          <wp:inline distT="0" distB="0" distL="0" distR="0">
            <wp:extent cx="5545455" cy="327850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Последствия демографического кризиса 90-х гг. XX в. и сокращение числа женщин активного репродуктивного возраста прогнозируют в последующие годы снижение общего коэффициента рождаемости в городе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последние годы наблюдается резкий рост коэффициента смертности населения. Так, в 2016 году он составлял 12,7 человек на 1000 жителей, а в 2021 году он увеличился до 19,6 человек на 1000 жителей. В структуре смертности преобладает смертность от болезней системы кровообращения (43,8%).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Миграционная убыль населения, наблюдающаяся с 2020 года, связана как с осложненной эпидемиологической ситуацией, так и политико-экономической турбулентностью. Однако самым существенным фактором является стремление населения жить в частном загородном доме: свободные участки под ИЖС и удаленность от промышленной зоны привлекают липчан в соседствующие с городом муниципальные образования - Липецкий, Грязинский и Добровский районы.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Анализ 2019 - 2022 годов показал, что в граничащих с городом Липецк сельских советах (Сырском, Косыревском, Введенском, Кореневщинском, Ярлуковском, Ленинском) наблюдается увеличение населения за счет миграционного притока. За 4 года численность данных сельских советов пополнилась суммарно на 3,4 тысячи человек. Пиковое увеличение наблюдается в 2021 году - рост миграционного прироста на 1,4 тыс. человек - липчане активно стремятся переехать за город после инфекционных запретов 2020 года, а жители отдаленных сельских поселений в поисках комфортности жизни и уровня оплаты труда переселяются ближе к городу, фактически сохраняя загородный образ жизни.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Сеть учреждений здравоохранения города Липецка представлена 15 медицинскими организациями. В городе функционирует 7 больничных организаций, из которых 1 - детская, 8 поликлинических организаций. Высокотехнологичная медицинская помощь осуществляется в 8 учреждениях областного центра.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Сохраняется низкий уровень обеспеченности врачами и средним медицинским персоналом в государственных учреждениях, что связано с оттоком специалистов в частный сектор, а также в другие регионы страны. Действующая программа "Губернаторские полтора миллиона" (до июня 2022 года - "Губернаторский миллион") позволила привлечь в липецкую медицину 126 врачей, из </w:t>
      </w:r>
      <w:r>
        <w:lastRenderedPageBreak/>
        <w:t>них 52 - в 2022 году. Следует отметить, что уровень заработной платы в сфере здравоохранения в городе - один из самых высоких на территории Липецкой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целью повышения информированности населения города Липецка по вопросам укрепления общественного здоровья, профилактики заболеваний и популяризации здорового образа жизни организовано межведомственное взаимодействие с учреждениями культуры, социальной защиты населения, образования, коммерческими учреждениями и др., в рамках которого осуществляется проведение массовой профилактической работы с использованием разнообразных форм и по различным тематическим направлениям.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поликлиниках города Липецка в 2022 году реализованы профилактические акции для населения, которые включали в себя проведение профилактических осмотров медицинскими специалистами с целью ранней диагностики заболеваний, а также реализовывались информационно-образовательные мероприятия.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Продолжается внедрение и реализация корпоративных программ по укреплению здоровья работников на рабочем месте. В 4 квартале 2022 года принято решение о масштабировании данного направления работы на территории региона. Обновленная версия модельной корпоративной программы по укреплению здоровья на рабочем месте, включает в себя мероприятия по обеспечению безопасных условий труда, по снижению употребления алкоголя и табака, повышению двигательной активности, профилактике стрессовых ситуаций, пропаганде правильного питания и здорового образа жизни. В настоящее время общее число сотрудников, участвующих в реализации корпоративной программы, составляет 4,5 тыс. работников и ежегодно увеличивается. В рамках реализации корпоративных программ на предприятиях создаются оборудованные места для самостоятельного контроля показателей факторов риска здоровья, организовано проведение вакцинации, обучения сотрудников правилам оказания первой помощи.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Организация комфортных условий для повышения продолжительности жизни населения города и ее качества.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Активизация мер по увеличению продолжительности жизни и снижению смертности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Внедрение корпоративных программ укрепления здоровья на предприятиях и организациях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качественного миграционного прироста, в т.ч. создание возможностей социально-культурной адаптации мигрантов.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Формирование системы общественных и личностных ценностей, ориентированных на семью с двумя и более детьми.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Формирование идеологии ответственного отношения липчан к своему здоровью, пропаганда и создание условий для ведения здорового образа жизни.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50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 xml:space="preserve">Численность населения, на конец года, </w:t>
            </w:r>
            <w:r>
              <w:lastRenderedPageBreak/>
              <w:t>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496447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490428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475785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459257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447079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496447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490428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478308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465214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457102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496447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490428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480601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472096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468267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Ожидаемая продолжительность жизни при рождении, лет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73,14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76,48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78,51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73,63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77,24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79,42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74,53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77,60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80,06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2. Физическая культура и спорт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физической культуры и спорта в рамках Стратегии основано на следующих принципах: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соответствие национальным целям и стратегическим задачам развития Российской Федерации; обеспечение равных возможностей для занятий физической культурой и спортом по месту жительства, учебы и работы для всех категорий и групп граждан;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открытость и доступность информации в сфере физической культуры и спорта для граждан; удовлетворенность граждан условиями для занятий физической культурой и спортом; 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Физическая культура и спорт играют особую роль в жизни человека, выполняя одновременно оздоровительную, воспитательную, соревновательную и имиджевую функции. В контексте всестороннего развития личности важно обеспечить вовлеченность населения в систематические занятия физической культурой и возможность самореализации талантливых спортсменов в спорте высших достижений. Население, систематически занимающееся физической культурой и спортом, осознанно и ответственно относится к своему здоровью, привержено здоровому образу жизни. В городе Липецке на всем протяжении анализируемого периода доля населения, систематически занимающегося физической культурой и спортом, в общей численности населения региона, неуклонно возрастает. За период с 2015 по 2022 годы численность граждан, систематически занимающихся физической культурой и спортом, увеличилась на 110,5 тыс. чел. и достигла 249,7 тыс. чел. - 54,8% населения (2015 г. - 139,2 тыс. чел., 29,0%). Более 27% от общего числа населения, систематически занимающегося физической культурой и спортом, составляют дети и молодежь в возрасте до 19 лет; 64,8% - трудоспособное население в возрасте 19 - 55 лет; 7,7% - жители "серебряного возраста".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Развитие здорового человека во многом определяется степенью его вовлеченности в занятия полноценной физической культурой и спортом. В городе наработан опыт организации физкультурно-массовых и спортивных мероприятий, количество которых с каждым годом увеличивается. Все мероприятия подчинены одной цели - пропаганде здорового образа жизни среди всех категории граждан и привлечение к систематическим занятиям физической культурой и спортом жителей города. Наличие спортивных центров и площадок для занятий в парках, а </w:t>
      </w:r>
      <w:r>
        <w:lastRenderedPageBreak/>
        <w:t>также развитие системы массовых соревнований и детских спартакиад будет содействовать вовлечению населения в занятия физической культурой и спортом.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Количество объектов спорта с 2015 по 2022 год выросло с 639 до 892 единиц. Наблюдается положительная динамика уровня обеспеченности спортивными сооружениями, исходя из единовременной пропускной способности (с 15,4% в 2015 году до 40,8% в 2022 году). Вместе с тем большое количество объектов требует их приведения в нормативное состояние (моральное и технического обновление).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сформирована и введена в действие программная и нормативная основа системы физического воспитания - Всероссийский физкультурно-спортивный комплекс "Готов к труду и обороне". Свою деятельность осуществляют 2 центра тестирования, которые к концу 2022 года приняли нормативы ВФСК ГТО более чем у 20 000 человек.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Липецк - территория здоровья, физической культуры и спорта, современных передовых стандартов качества жизни и активного долголетия.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Увеличение доли граждан, систематически занимающихся физической культурой и спортом.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Создание условий, обеспечивающих возможность гражданам систематически заниматься физической культурой и спортом, массовым спортом, повышение уровня обеспеченности населения объектами спорта.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Повышение уровня квалификации тренерского состава, привлечение в отрасль молодых специалистов.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2 -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5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граждан, систематически занимающихся физической культурой и спортом,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54,8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Уровень обеспеченности граждан спортивными сооружениями исходя из единовременной пропускной способности,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41,8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42,8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45,2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62,8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70,0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lastRenderedPageBreak/>
        <w:t>3. Социальные услуги и борьба с бедностью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перечень социальных услуг включено 203 услуги, которые в 2022 году в городе Липецке получили 1,9 тыс.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малообеспеченных семей и одиноко проживающих граждан предусмотрены меры социальной поддержки по оплате за жилое помещение и коммунальные услуги.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Наиболее высокий риск оказаться в числе бедных традиционно имеют семьи с детьми, особенно многодетные. Поэтому именно на них ориентирована значительная часть федеральных и региональных мер социальной поддержки. В соответствии с действующим законодательством более 15 мер социальной поддержки направлены на улучшение положения семей с детьми, многодетных семей.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Особое внимание уделяется гражданам пожилого возраста и инвалидам. В социальной защите населения активно развиваются отделение социального обслуживания на дому и отделение долговременного ухода.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реализуется проект "Активное долголетие". Больше 2 тысяч человек уже включились в проект. Пенсионеры танцуют, поют, занимаются йогой и даже учатся вести свои соцсети.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людей с ограниченными возможностями проводятся мероприятия по обеспечению полного вовлечения и включения инвалида в общество, предоставление ему равных с другими людьми возможностей. В городе широко реализуется программы по формированию доступной среды для маломобильных групп граждан, а также проводятся инклюзивные проекты, ориентированные на социальную адаптацию и интеграцию. В сентябре 2023 года проведены международные инклюзивные творческие игры, способствующие системному и комплексному решению задач не только по выявлению и поддержке творчески одаренных людей с инвалидностью, обеспечению их равноправного участия во всех сферах культурной жизни общества, но и систематизации опыта, формированию новых подходов и внедрению наиболее продуктивных методик социокультурной реабилитации и абилитации.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Одной из наиболее эффективных мер социальной поддержки для малообеспеченных граждан является предоставление государственной социальной помощи на основании социального контракта. В 2022 году заключено более 2 тыс. социальных контрактов, что на 2% больше, чем в предшествующем году. Из них 47% составила помощь в поиске работы и трудоустройстве, 36% - на осуществление индивидуальной предпринимательской деятельности, 16% - на преодоление трудной жизненной ситуации, 1% - на ведение личного подсобного хозяйства.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2022 год 15 семей, состоящих на учете в качестве нуждающихся, обеспечены жилыми помещениями. Всего на учете для предоставления жилых помещений состоят свыше 5 тыс. семей.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обучающихся в бюджетных учреждениях города Липецка из числа льготных категорий предусмотрена льгота в размере от 10 до 100 процентов от стоимости обучения за присмотр и уход, обучение по дополнительным образовательным программам, правовое и психологическое просвещение и консультирование детей и их родителей, а также помощь в организации досуга учащихся.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Одним из факторов, повышающим риск бедности, является отсутствие занятости. По состоянию на 01.01.2023 численность безработных в городе Липецке составила 973 человека, что на 2% меньше, чем на соответствующую дату предшествующего года. Всего с начала года безработными признаны почти 3,2 тыс. граждан. По состоянию на 01.01.2023 740 человек </w:t>
      </w:r>
      <w:r>
        <w:lastRenderedPageBreak/>
        <w:t>получали пособие по безработице. Средний размер пособия по безработице в 2022 году составил 7 500 рублей.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3 - Соотношение среднего размера назначенных пенсий</w:t>
      </w:r>
    </w:p>
    <w:p w:rsidR="00BC7753" w:rsidRDefault="00BC7753">
      <w:pPr>
        <w:pStyle w:val="ConsPlusNormal"/>
        <w:jc w:val="center"/>
      </w:pPr>
      <w:r>
        <w:t>с прожиточным минимумом, рублей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128"/>
        </w:rPr>
        <w:drawing>
          <wp:inline distT="0" distB="0" distL="0" distR="0">
            <wp:extent cx="5545455" cy="177673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Средний размер назначенных пенсий в 2022 году составил 17 074 рубля и увеличился по сравнению с соответствующим периодом прошлого года на 7,5% (2021 год - 15 883 рубля).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Снижение бедности и повышение качества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Продолжение оказания государственной социальной помощи на основании социального контракта.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Реализация комплекса мер социальной помощи нуждающимся гражданам.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темпа устойчивого роста пенсионного обеспечения.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Снижение количества безработных граждан.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Адаптация и социальная интеграция людей с инвалидностью.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3 -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Средний размер назначенных пенсий, рублей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15 883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17 074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20 806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21 443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22 114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15 883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17 074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21 306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21 943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22 614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15 883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17 074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22 806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23 443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24 114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Численность безработных, получающих пособие по безработице,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lastRenderedPageBreak/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Число заключенных социальных контрактов,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1 725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1 725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1 908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1 908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1 908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1 725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1 000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4. Образование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систему образования города Липецка входят 157 муниципальных учреждений общего и дополнительного образования. На территории города функционируют 8 учреждений высшего профессионального образования (включая 6 филиалов) и 7 профессиональных образовательных учреждений Липецкой области, в которых выпускники 9 и 11 классов могут продолжить обучение (для чего в школах города организуется необходимая профориентационная работа). Таким образом, сформированная сеть учреждений способна удовлетворить имеющийся у населения образовательный заказ.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 другим преимуществам системы относятся: отсутствие актуальной очереди в детские сады; создание условий для обучающихся с особыми образовательными потребностями (одаренных детей, детей с ОВЗ, т.п.); сформированность материально-технической базы, развивающей предметно-пространственной и цифровой образовательной среды; высокая мотивация учащихся и педагогов на достижение качественных образовательных результатов, чему способствуют исторические традиции Липецкой школы.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 этом сохраняется напряженная ситуация с доступностью дошкольного образования в микрорайонах Октябрьского округа; не завершены меры по приведению наполняемости дошкольных групп к нормативной. Высокой остается загруженность школ: 134% в среднем по городу; в новых микрорайонах, некоторых школах центра и старых жилых районов - от 138% до 229%; в МБОУ N N 16, 32, предоставляющих образование детям с ЗПР и умственной отсталостью, - 143% и 230% соответственно. Образовательные учреждения различаются по оснащенности и материально-техническим условиям; здания 60% из них эксплуатируются более 30 лет, поэтому нуждаются в постоянном ремонте отдельных конструктивов. В системе образования ощущается дефицит кадров ряда специальностей вследствие их старения и низких темпов воспроизводства.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решения указанных проблем используются разные способы привлечения дополнительных средств за счет участия в федеральных и региональных проектах, государственных программах РФ и Липецкой области, а также в конкурсных (грантовых) программах. Принимаются меры по включению кадров в формируемую на федеральном уровне систему поддержки педагогов (конкурсное движение, возможности для повышения квалификации, обмен успешными практиками), по привлечению молодых педагогов, их адаптации и закреплению в ОУ.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 управлении отраслью реализуются муниципальная </w:t>
      </w:r>
      <w:hyperlink r:id="rId53">
        <w:r>
          <w:rPr>
            <w:color w:val="0000FF"/>
          </w:rPr>
          <w:t>программа</w:t>
        </w:r>
      </w:hyperlink>
      <w:r>
        <w:t xml:space="preserve"> "Развитие образования города Липецка" на 2017 - 2025 годы и 9 проектов системы образования ("Качество образования: оценка, анализ, пути роста", "Воспитание человека: ценности, актуальные практики, пространство взаимодействия", "Кадры липецкого образования: сопровождение профессионального роста и развития", др.).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Общее образование (дошкольное, начальное общее, основное общее и среднее общее). </w:t>
      </w:r>
      <w:r>
        <w:lastRenderedPageBreak/>
        <w:t>Программы дошкольного образования реализуются в 67 детских садах и 8 школах, имеющих на это соответствующие лицензии. Их осваивали в 2022 году 27 437 детей.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2018 года в системе созданы 2625 новых мест за счет строительства 5 детских садов и 7 ясельных корпусов. Это способствовало обеспечению доступности дошкольного образования; снижению загруженности ДОУ со 131% в 2018 году до 115% в 2022. Доля детей до 3 лет и от 3 до 7 лет, получающих дошкольное образование, в общей численности детей данной возрастной группы, поставленных на учет по предоставлению места в ДОУ в отчетный год, составляет с 2021 года 100%. Доля детей в возрасте 1 - 6 лет, получающих дошкольную образовательную услугу и (или) услугу по содержанию в муниципальных образовательных учреждениях, в общей численности детей этого возраста - 84,5% (в 2018 году - 79,2%).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Программы начального, основного и среднего общего образования для 61810 учащихся реализуются в 67 школах. Несмотря на строительство в 2017 - 2021 годах 5 школ (4000 мест), темпы ввода в эксплуатацию новых учреждений отстают от темпов роста контингента учащихся (в среднем 1,5 тысячи человек в год). В связи с этим не удается добиться устойчивой положительной динамики в состоянии показателя "доля обучающихся в 1 смену" (в 2022 году - 81%).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Образование детей с ограниченными возможностями здоровья. На постоянной основе проводится работа по созданию условий для образования детей-инвалидов, детей с ОВЗ через открытие и обеспечение функционирования специальных групп/классов, а также групп/классов, где дети данной категории получают образование инклюзивно. Численность обучающихся в них составляет 4 038 человек в детских садах, 1 837 - в школах. С 2022 года в системе образования города Липецка функционирует квартира-тренажер "Домовенок" для детей с ментальными нарушениями и расстройством аутистического спектра - это дополнительное развивающее пространство для отработки навыков личной гигиены, приготовления пищи, ухода за собой и жилищем.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Поддержка талантливой молодежи. Создаются условия для одаренных и высокомотивированных детей: 12 380 учащихся 55 школ осваивают программы профильного и углубленного изучения предметов. Профильные политехнические, инженерно-технологические, психолого-педагогические, гуманитарные, социально-экономические, кадетские и др. классы открываются с учетом запросов современного (в т.ч. регионального) рынка труда. На это нацелены концепции новых школ: информационных технологий, инженерно-технологической, многопрофильной полилингвальной.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сопровождения одаренных детей проводятся школьный и муниципальный этапы всероссийской олимпиады школьников по 24 предметам. В 2022 году в школьном этапе приняли участие более 25 000 учащихся, 498 из них стали победителями и призерами муниципального этапа, 136 - регионального, 12 - заключительного. Проводятся городская олимпиада по черчению и муниципальная компетентностная олимпиада. Традиционно велико количество городских мероприятий творческой и физкультурно-спортивной направленности. Апробируется новый формат работы с одаренными детьми в рамках клуба "Новое время".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поощрения талантливой молодежи назначаются стипендии (в т.ч. именные) и премии администрации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Дополнительное образование. Программы дополнительного образования реализуются в 62 школах, 63 детских садах, 24 УДО. Их осваивают 54 284 учащихся (70,6% в общей численности населения города Липецка от 5 до 18 лет). Для увеличения охвата дополнительным образованием в последние годы оборудованы 405 новых мест в УДО, 510 мест в школах, открыт школьный технопарк "Кванториум", создана школа креативных индустрий на базе школы искусств. Кроме того, учащиеся могут посещать расположенные на территории города Липецка учреждения дополнительного образования, находящиеся в ведомстве управления образования и науки Липецкой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Обеспеченность системы педагогическими кадрами. В учреждениях системы образования города Липецка трудятся почти 10000 работников, из которых около 7000 - педагогические. Обеспеченность системы кадрами на 01.01.2023 составляет 98,6%. Женщин - 84,2%, специалистов до 35 лет - 24,8% в общей численности педагогических работников. Более 50% молодых специалистов уходят из отрасли после 1-го года работы из-за возрастающих требований к профессии и размера заработной платы. Доля педагогов с 1 и высшей категориями - 74,6%, имеющих награды и звания - 25,4%.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Инновационный потенциал системы образования. В муниципальных образовательных учреждениях функционируют 29 инновационных площадок общероссийского уровня (на базе 17 школ и 12 детских садов). Количество региональных площадок и площадок института развития образования - 40. На муниципальном уровне сформированы механизмы обмена успешными педагогическими и управленческими практиками, включая сетевые сообщества и городские объединения педагогов (в т.ч. ассоциации, клубы).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Современные педагоги города Липецка продолжают традиции своих предшественников - К.А. Москаленко, С.А. Шмакова, М.Б. Раковского и их единомышленников.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 инновационном потенциале системы образования города Липецка свидетельствуют достижения педагогов на всероссийском и региональном уровнях. Только в 2022 году на их счету победы в профессиональных состязаниях президентской платформы "Россия - страна возможностей": команды гимназии N 12 - во всероссийском конкурсе "Флагманы образования. Школа", гимназии N 64 - "Флагманы дополнительного образования", департамента образования - "Флагманы образования. Муниципалитет". Педагоги и управленцы гимназии N 12 - призеры Всероссийской метапредметной олимпиады "Команда большой страны", всероссийского конкурса "Успешная школа". В призерах всероссийского конкурса "Директор года" - руководитель школы информационных технологий N 26. 13 липецких школ стали обладателями областного гранта за достижение наилучшего качества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Цель: Повышение доступности и качества предоставляемого образования как важного показателя качества жизни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Обеспечение доступности, качества и безопасности общего (включая дошкольное)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Выявление, поддержка, развитие способностей и талантов детей и молодежи, содействие их личностному и профессиональному самоопределению, в т.ч. средствами дополнительного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профессионального и личностного развития кадров как гаранта качества системы образования.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4 -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детей в возрасте 1 - 6 лет, получающих дошкольную образовательную услугу и (или) услугу по их содержанию в муниципальных дошкольных образовательных учреждениях, в общей численности детей в возрасте 1 - 6,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lastRenderedPageBreak/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детей, получающих образование в общеобразовательных учреждениях, находящихся на территории г. Липецка, в общей численности детей, подлежащих обучению по программам начального общего, основного общего, среднего общего образования и проживающих на территории,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учащихся муниципальных общеобразовательных учреждений, обучающихся в первую смену, в общей численности учащихся муниципальных общеобразовательных учреждений,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82,0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88,0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детей и молодежи от 5 до 18 лет, получающих дополнительное образование в муниципальных образовательных учреждениях, в общей численности населения г. Липецка от 5 до 18 лет,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71,8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72,5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82,5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67,1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85,0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Обеспеченность системы образования педагогическими кадрами,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99,3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100,0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5. Культура и туризм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Миссия культуры и туризма города Липецка - создание условий, гарантирующих равные возможности населения на доступ к ценностям культуры, информационных ресурсов, </w:t>
      </w:r>
      <w:r>
        <w:lastRenderedPageBreak/>
        <w:t>обеспечивающих гармоничное развитие личности, социальную мобильность членов гражданского общества, развитие культурного потенциала.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период 2015 - 2022 годов число посещений учреждений культуры города Липецка увеличилось на 12,1% и составило в 2022 году 696 тыс. чел. (в 2015 году - 621 тыс. чел.).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2015 году в муниципальных учреждениях, подведомственных департаменту культуры и туризма города Липецка проведено 3 348 культурно-досуговых мероприятий, в 2022 году учреждениями культуры было проведено 8 000 мероприятий, рост за 7 лет составил 239%.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период 2015 - 2022 годов увеличилось количество домов и дворцов культуры, парковых территорий, открылись новые муниципальные библиотеки.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 МАУК "Культурные пространства" были присоединены: общественное пространство "Остров Зеленый", сквер им. Крупской, парк "Европейский", общественное пространство "Липецкое городище", Центральный пляж, парковая зона "Рудничный".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2021 году состоялось открытие новой библиотеки для читателей всех возрастов "Проспект" по адресу: проспект Победы, 85.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Кроме того, централизованная библиотечная система города Липецка в 2022 году начала работу по программе популяризации культурных мероприятий среди молодежи "Пушкинская карта".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Библиотеки участвуют в федеральном проекте по созданию модельной библиотеки (были открыты 4 модельные библиотеки).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счет комплекса мероприятий по благоустройству парковых территорий, проведенного в 2015 - 2022 годах, позволившего повысить уровень комфорта (новая парковая мебель, плитка, освещение), были привлечены дополнительные потоки посетителей, а, следовательно, увеличение привлеченных внебюджетных средств на 9,0% (с 67 400 тыс. руб. в 2015 году до 73 406 тыс. руб. в 2022 году).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Комплексное благоустройство проходило также в МАУК "Липецкий зоологический парк": построено здание для содержания и показа обезьян, отремонтированы помещения "Виварий", произведена художественная роспись вольеров хищных животных, установлены малые архитектурные формы. В 2022 году на территории МАУК "Липецкий зоологический парк" после ремонта был открыт обновленный птичник.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2015 года значительно сократилась доля муниципальных учреждений культуры, здания которых находятся в аварийном состоянии или требуют капитального ремонта, с 89% до 65%.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учреждениях культуры были произведены капитальные ремонты: МАУК "ДК "Рудничный", МАУК "ГДК", МУ "ЛДМ", ОП "Студеновский", МУ "ЛМНиДПИ", БИЦ "Левобережный", ЦГБ им. С.А. Есенина.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регионального проекта "Культурная среда" была произведена модернизация муниципальных детских школ искусств по видам искусств. В 2021 и 2022 годах капитально отремонтированы здания МБУ ДО "ДШИ N 2", МБУ ДО "ДШИ N 3", МБУ ДО "ДШИ N 6", МБУ ДО "ДМШ N 10".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Основу системы образования в сфере культуры и искусства в городе Липецке составляет сеть образовательных учреждений, в которую входят детские школы искусств и музыкальные школы.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Неотъемлемой частью образовательного процесса в музыкальных школах, школах искусств является концертная и выставочная деятельность обучающихся. В период с 2015 по 2022 год </w:t>
      </w:r>
      <w:r>
        <w:lastRenderedPageBreak/>
        <w:t>количество проведенных конкурсов, фестивалей художественного творчества и исполнительского мастерства разного уровня увеличилось в 7 раз (с показателя 107 до 725).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Ежемесячно 25 одаренных учащихся школ искусств города Липецка получают стипендию администрации города Липецка и городского Совета депутатов в размере 500 рублей.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84,5% учащихся ДШИ (по видам искусств) от общего числа принявших участие стали победителями и лауреатами конкурсов международного, всероссийского, межрегионального, областного уровней. Данный показатель за период с 2015 по 2022 год увеличился на 29,5% (в 2015 году - 55,0%).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Также в 2022 году состоялось открытие уникального по своему формату учреждения - "Школа креативных индустрий". Основной целью создания "Школы креативных индустрий" является предоставление услуг в области дополнительного образования в сфере культуры и искусства с использованием современных технологий.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Главным принципом работы учреждения стали шесть инновационных студий: фото/видеопроизводство, анимация, дизайн, звукорежиссура, электронная музыка, интерактивные цифровые технологии VR и AR.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Одним из самых перспективных и динамично развивающихся направлений в туризме является событийный туризм, доля которого в секторе туристических услуг ежегодно увеличивается.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2021 году при поддержке администрации города Липецка состоялся первый рок-фестиваль FOX ROCK FEST, который посетили более 20 000 человек, из них 42% - поклонники музыки из других регионов страны. Площадка фестиваля расположилась на 298 тысячах квадратных метров на Зеленом острове в черте города. Готовили мероприятие почти 400 человек, в том числе 177 волонтеров. На площадке фестиваля было установлено две сцены - большая и малая, 20 торговых точек, 10 фудтраков, 15 павильонов ярмарки народно-прикладного искусства и несколько зон для активностей. Всего на FOX ROCK FEST выступили 28 музыкальных коллективов. На протяжении нескольких лет событийные мероприятия представляются в финале национальной премии в области событийного туризма "Russian Event Awards".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Развитие туризма в городе Липецке способствует развитию эффективного конкурентоспособного туристского рынка, обеспечивающего широкие возможности для удовлетворения потребностей жителей и гостей города в туристских услугах, повышение занятости и уровня доходов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2021 году важным спортивным праздником явился III легкоатлетический забег "Липецкий полумарафон". Поддерживали спортсменов в этот день глава региона Игорь Артамонов, мэр Липецка Евгения Уваркина и известный комментатор Дмитрий Губерниев.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Сохранение и популяризация культурного наследия города Липецка через повышение качества и доступности услуг к формированию положительного имиджа сферы культуры и туризма в городе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Обеспечение максимальной доступности для населения города Липецка к знаниям, информации и культурным ценностям.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Сохранение, популяризация историко-культурного наследия и обеспечение его рационального использования в культурной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сохранности и безопасности музейных и библиотечных фондов.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4. Сохранение и развитие традиционной народной культуры, народных художественных промыслов.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Развитие творческого потенциала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Развитие и модернизация инфраструктуры сферы культуры и туризма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Продвижение культуры города Липецка в российское и мировое культурное пространство.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5 -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54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муниципальных учреждений культуры, здания которые находятся в аварийном состоянии или требуют капитального ремонта, в общем числе муниципальных учреждений культуры,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Количество культурно-досуговых мероприятий, концертов, спектаклей, выставок, проводимых муниципальными учреждениями культуры,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8 200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8 150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8 250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8 200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8 300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Уровень фактической обеспеченности учреждениями культуры от нормативной потребности: парками культуры и отдыха,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lastRenderedPageBreak/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Объем внутреннего и въездного туристского потока города Липецка, тыс.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470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Количество туристских маршрутов по городу Липецку,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13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Удельный вес населения, участвующего в культурно-досуговых мероприятиях, проводимых учреждениями культуры,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240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6. Молодежная политика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Деятельность в сфере молодежной политики на федеральном, региональном и муниципальном уровнях определяет Федеральный </w:t>
      </w:r>
      <w:hyperlink r:id="rId55">
        <w:r>
          <w:rPr>
            <w:color w:val="0000FF"/>
          </w:rPr>
          <w:t>закон</w:t>
        </w:r>
      </w:hyperlink>
      <w:r>
        <w:t xml:space="preserve"> от 30 декабря 2020 года N 489-ФЗ "О молодежной политике в Российской Федерации". Одной из пяти национальных целей </w:t>
      </w:r>
      <w:hyperlink r:id="rId56">
        <w:r>
          <w:rPr>
            <w:color w:val="0000FF"/>
          </w:rPr>
          <w:t>Указом</w:t>
        </w:r>
      </w:hyperlink>
      <w:r>
        <w:t xml:space="preserve"> Президента от 21 июля 2020 года N 474 "О национальных целях развития Российской Федерации до 2030 года" обозначена "Возможности для самореализации и развития талантов".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Под категорией "молодежь" понимают особую социально-демографическую группу лиц в возрасте от 14 до 35 лет включительно, имеющих гражданство Российской Федерации.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проживает 123 916 чел. в возрасте 14 - 35 лет включительно, что составляет 25% от общего числа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Липецкая молодежь принимает активное участие во всероссийских, межрегиональных и региональных мероприятиях, на территории города организуются и проводятся мероприятия (фестивали, форумы, акции и пр.), предоставляются субсидии в виде грантов на реализацию социально значимых проектов, растет число добровольческих объединений (отрядов), </w:t>
      </w:r>
      <w:r>
        <w:lastRenderedPageBreak/>
        <w:t>увеличивается количество творческих пространств, ориентированных на молодежную аудиторию.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в настоящее время функционирует МАУК "Городской молодежный центр", созданы творческие пространства для молодых граждан города Липецка на базе муниципальных учреждений департамента культуры и туризма администрации города Липецка, в которых проходят концерты, спектакли, мастер-классы, тренинги, "квартирники" и пр.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 этом сфера молодежной политики города Липецка характеризуется недостаточным финансированием, снижением численности населения в возрасте 14 - 35 лет в результате миграционного оттока молодежи, недостаточностью доступной инфраструктуры для досуга и саморазвития.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причинами миграции среди молодежи являются: получение образования (в случае возвратной миграции) и переезд в крупные города с более высоким уровнем оплаты труда (г. Москва, г. Санкт-Петербург).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на постоянной основе действует 42 волонтерских корпуса с постоянным участием более 3 000 волонтеров. Липецкие добровольцы активно участвуют в таких ежегодных мероприятиях как Крещенские купания, Всероссийская массовая лыжная гонка "Лыжня России", Липецкий полумарафон, голосование в рамках реализации федерального проекта "</w:t>
      </w:r>
      <w:hyperlink r:id="rId57">
        <w:r>
          <w:rPr>
            <w:color w:val="0000FF"/>
          </w:rPr>
          <w:t>Формирование комфортной</w:t>
        </w:r>
      </w:hyperlink>
      <w:r>
        <w:t xml:space="preserve"> городской среды", "Велопарад" и многих других.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действуют региональные отделения "Волонтеры Победы", "Волонтеры-медики", "Волонтерская рота боевого братства" и др.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Отдел по работе с молодежью администрации города Липецка прошел сертификацию и получил регистрацию в единой информационной системе "Добровольцы России" (ЕИС DОБРО.ру) как организатор волонтерской деятельности.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Липецк - территория, на которой созданы комфортные условия для успешной социализации и эффективной самореализации молодежи, а также развития волонтерской (добровольческой)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Создание качественных условий для развития молодежи путем развития инфраструктуры сферы молодежной политики.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Развитие и популяризация молодежных организаций и объединений осуществляющих свою деятельность на территории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организаций и предприятий различных форм собственности квалифицированными кадрами в сфере молодежной политики.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Развитие системы наставничества.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Поддержка талантливой молодежи и популяризация нравственных ценностей в подростково-молодежной среде, укрепление института семьи;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Развитие системы патриотического воспитания.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Создание условий, обеспечивающих востребованность и развитие волонтерского (добровольческого) движения.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8. Поддержка социально значимых проектов и инициатив молодежи, молодежных общественных объединений и некоммерческих организаций, развитие молодежного </w:t>
      </w:r>
      <w:r>
        <w:lastRenderedPageBreak/>
        <w:t>фестивального движения, развитие молодежного предпринимательства.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 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6 -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самоуправления, в общей численности граждан от 14 до 35 лет включительно,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Количество жителей города Липецка, принявших участие в мероприятиях по повышению престижа института семьи, чел.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2 300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2 300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5 300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2 300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2 500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3 400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4 700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5 500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Количество молодых людей, вовлекаемых в добровольческую (волонтерскую) деятельность, чел.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1 750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2 800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3 800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4 700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1 750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1 750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4 200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7. Транспортная инфраструктура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Пространственная структура Липецка, являющаяся ее значительным преимуществом, и, во многом, позволявшая жителям получать достойный уровень транспортного обслуживания, в то же время ограничивает варианты развития ее улично-дорожная сеть.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Крупнейшими естественными разделителями города являются железнодорожная линия Елец - Липецк - Грязи и река Воронеж. Река отделяет жилую и деловую часть города от промышленной (жилая застройка левобережной части значительно меньше), железная дорога отделяет крупный микрорайон Свободный Сокол от остальной части города. Также железная дорога отделяет развивающийся район Опытной станции, в котором в последние годы ведется </w:t>
      </w:r>
      <w:r>
        <w:lastRenderedPageBreak/>
        <w:t>масштабная многоэтажная жилая застройка. В сложившейся части города естественным препятствием является также река Липовка, крутые берега которой ограничивают возможности улучшения связности улично-дорожной сети города. Таким образом, для города необходимо повышение связности улично-дорожной сети путем строительства новых дорог и искусственных сооружений для преодоления естественных преград.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Общественный транспорт в городе Липецке представлен двумя видами транспорта: автобусом и трамваем. Протяженность маршрутной сети общественного транспорта в городе составляет 1 254,7 км. По состоянию на 30.06.2022 в пассажирских перевозках на территории города Липецка задействовано 590 транспортных средств (54 трамвайных вагона и 536 автобусов, из которых 204 автобуса муниципальных и 332 автобуса перевозчиков немуниципальной формы собственности), которыми совместно обслуживается 72 маршрута (из которых 54 - автобусных регулярных, 13 - сезонных садоводческих и 5 - трамвайных маршрутов).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представлены автобусы особо большого, большого, среднего и малого класса. Автобусы используют разные виды топлива, включая жидкое нефтяное топливо, газ и электричество. Средний возраст автобусов всех перевозчиков, работающих в городе, составляет более 15 лет.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период с 2018 по 2021 год было приобретено 170 новых автобусов на общую сумму 1,34 млрд. рублей, из них 134 ед. работают на компримированном природном газе. В целом за указанный период доля газомоторных автобусов выросла с 14 до 32% (прогноз на 2022 год - 38,2%), доля автобусов, соответствующих экологическому стандарту ЕВРО-5 выросла с 10% до 42% (прогноз на 2022 год - 48,7%).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Показатели пассажиропотока общественного транспорта в городе Липецке в последние годы снижается. В последние два года эта тенденция была усилена снижением пассажиропотока в период распространения коронавирусной инфекции COVID-19. В 2019 году пассажиропоток всех регулярных автобусных перевозок по муниципальным маршрутам в городе составил 92 млн. пассажиров, в 2020 году было перевезено 68 млн. пассажиров, а в 2021 - 72 млн. чел.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Создание транспортной системы города, удобной для жизни населения в условиях высокого уровня автомобилизации на основе проведения сбалансированной транспортной политики, включающей в себя улучшение качества услуг пассажирского транспорта и совершенствование магистральной улично-дорожной сети.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Развитие экологически чистых видов транспорта, сокращение выбросов загрязняющих веществ за счет перехода на электричество и газомоторное топливо.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Развитие городского наземного электротранспорта, строительство новых трамвайных веток, модернизация существующей сети, создание инфраструктуры для электротранспорта.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Приведение улично-дорожной сети в нормативное транспортно-эксплуатационное состояние.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Устранение перегрузки дорожной сети, оптимизация транспортных потоков, повышение эффективности системы управления дорожным движением, переход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транспортом, синхронизация развития всех видов транспорта и транспортной инфраструктуры.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7 -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lastRenderedPageBreak/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61,3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61,3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83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61,3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Суммарное количество пассажиров, перевезенных городским электротранспортом, тыс. чел. в год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3 186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3 278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3 186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3 278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3 186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3 278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Суммарное количество пассажиров, перевезенных автомобильным пассажирским транспортом, тыс. чел. год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62 053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67 500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62 053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68 800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69 300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69 800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62 053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68 500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79 000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82 000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автобусов, осуществляющих регулярные перевозки пассажиров в городском сообщении, для которых обеспечена в открытом доступе информация об их реальном движении по маршруту,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8. Строительный комплекс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Строительный комплекс города Липецка включает строительную отрасль и отрасль производства строительных материалов.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Строительная отрасль играет одну из ключевых ролей в развитии экономического потенциала города Липецка, обеспечивая создание новых основных фондов в ходе реализации инвестиционных проектов (промышленное, инфраструктурное строительство), а также важную социальную роль, которая включает в себя возведение таких объектов, как школ, детских садов, </w:t>
      </w:r>
      <w:r>
        <w:lastRenderedPageBreak/>
        <w:t>объектов культуры.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Наибольшая доля в объеме работ, выполненных собственными силами по договорам строительного подряда (по крупным и средним организациям), приходится на строительство жилых и нежилых зданий, что в настоящее время составляет порядка 54,9%. На работы и услуги строительного характера составляют 93,9%. Другие виды деятельности занимают нишу 6,1%, из которых наиболее существенные - транспортировка и хранение (3,2%).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 рамках реализации национального </w:t>
      </w:r>
      <w:hyperlink r:id="rId58">
        <w:r>
          <w:rPr>
            <w:color w:val="0000FF"/>
          </w:rPr>
          <w:t>проекта</w:t>
        </w:r>
      </w:hyperlink>
      <w:r>
        <w:t xml:space="preserve"> "Жилье" и входящих в него федеральных проектов в городе Липецке проводится жилищная политика, осуществляемая на всех уровнях власти. Так, созданы условия для развития жилищного строительства: выделяются земельные участки, территории обеспечиваются градостроительной документацией, объектами социальной, транспортной и инженерной инфраструктуры, оказывается государственная поддержка строительному комплексу, осуществляются мероприятия по расселению граждан из аварийного жилфонда в рамках национального </w:t>
      </w:r>
      <w:hyperlink r:id="rId59">
        <w:r>
          <w:rPr>
            <w:color w:val="0000FF"/>
          </w:rPr>
          <w:t>проекта</w:t>
        </w:r>
      </w:hyperlink>
      <w:r>
        <w:t xml:space="preserve"> "Жилье и городская среда", в том числе с софинансированием из федерального бюджета; вводятся в эксплуатацию проблемные многоквартирные дома.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общей площади жилых помещений, приходящейся на одного жителя, Липецк входит в одну из лидирующих позиций в Российской Федерации. Так, по итогам 2021 года город занял 4 место в Российской Федерации и 1-е в группе сравнения. Значение данного показателя в 2021 года составило 31,74 кв. м/чел., что выше среднероссийского уровня, так и среднего по ЦФО. На рост данного показателя оказывает влияние не только ввод нового жилья, но и сокращение численности населения. За период 2012 - 2020 гг. сокращение численности населения составило 4%, т.е. 1,3 кв. м/чел.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Что касается отрасли "Производство строительных материалов", то в городе Липецке она представлена производителями кирпича, цемента, извести, товарного бетона, изделий из бетона, металлопродукции. На текущий момент в отрасли осуществляют деятельность более 40 организаций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2020 году произведено: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блоки стеновые силикатные 290 миллионов условных кирпичей;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блоки и прочие изделия сборные строительные для зданий и сооружений из цемента, бетона или искусственного камня 88 тыс. куб. 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товарный бетон смеси строительные 329 тыс. куб. 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подушевым показателям отрасль относится к развивающимся отраслям. Однако валовые показатели (отгрузка, инвестиции в основной капитал, налоговые отчисления в консолидированный бюджет Российской Федерации) сторнируют. При этом остается крайне низкое использование производственных мощностей.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Строительный комплекс города Липецка - эффективная система строительства объектов в интересах базовых отраслей экономики, социальной сферы и населения на основе применения современных технологий проектирования и строительства, включающая производство современных строительных материалов для растущего рынка ЦФО.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Повышение конкурентоспособности строительного комплекса города Липецка для обеспечения реализации инвестиционных проектов базовых отраслей экономики, а также для развития жилищного и социально-культурного строительства.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2. Устойчивое развитие жилищного и социально-культурного строительства для своевременного и полного удовлетворения спроса населения и социальной сферы.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Развитие производства высокотехнологичных стройматериалов и быстровозводимых домов для ИЖС и малоэтажной застройки, а также компонентов и сервиса Smart Home, которое реализует конкурентные преимущества Липецкой области и ее вклад в формирование нового образа жизни для Центральной России.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8 -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Объем жилищного строительства, тыс. кв. 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313,2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550,0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660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Общая площадь жилых помещений, приходящаяся в среднем на одного жителя, кв. м/чел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34,2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35,3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36,5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9. Жилищное хозяйство и энергетика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Теплоэнергетика Липецка - сектор экономики региона, обеспечивающий производство, транспортировку и сбыт тепловой энергии. На территории города Липецка расположено 49 источников тепловой энергии. Липецк - ТЭЦ-2, принадлежащая ПАО "Квадра" - "Липецкая генерация". Преобладающий вид топлива - природный газ. Доля потребления природного газа составляет 96,8% от суммарного расхода топлива на источниках тепловой энергии в городе Липецк.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Приоритетными направлениями развития теплосетевого комплекса города Липецка является реализация следующих мероприятий: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блочно-модульных котельных;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проведение реконструкции действующих источников тепловой энергии;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внедрение систем автоматизации и диспетчеризация на источниках тепловой энергии;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перевод с открытых систем потребления теплоносителя на нужды ГВС на теплоснабжение по закрытой схеме.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Нормативный срок службы трубопроводов тепловых сетей соответствует 25 годам эксплуатации. Тепловые сети, находящиеся в эксплуатации более 25 лет, подлежат капитальному ремонту, экспертизе промышленной безопасности и техническому диагностированию. В городе </w:t>
      </w:r>
      <w:r>
        <w:lastRenderedPageBreak/>
        <w:t>Липецке около 70,8% тепловых сетей имеют срок эксплуатации 25 лет и более.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Электроэнергетика города Липецка - сектор экономики региона, обеспечивающий производство, транспортировку и сбыт электрической энергии.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действуют электростанции: Липецкая ТЭЦ-2, ТЭЦ НЛМК, Утилизационная ТЭЦ НЛМК, Газотурбинная расширительная станция НЛМК, ТЭЦ ООО "ЛТК Свободный Сокол".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Крупнейшие потребители электроэнергии: ПАО "НЛМК" и АО "ОЭЗ ППТ "Липецк".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Уже много лет приоритетным направлением развития электросетевого комплекса области остается повышение надежности и качества электроснабжения потребителей и создание новых мощностей. В 2020 г. снизилось число отключений в электрических сетях на 2,5%. Органами власти Липецкой области постоянно проводится работа по сокращению сроков и этапов для осуществления технологического присоединения к инженерным сетям. Так, имеющиеся показатели "Предельный срок подключения к электрическим сетям" и "Количество процедур технологического присоединения к электрическим сетям" с 2013 года (343 дня и 6 процедур) удалось сократить в 2020 году до 68 дней и 3 процедур. По данному показателю Липецкая область занимает 5 место в России.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Показатели, характеризующие развитие отрасли: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Объем производства электрической энергии, тыс. кВт.ч.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Протяженность построенных сетей,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Протяженность реконструированных сетей,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Газоснабжение. В городе Липецке общая протяженность газопровода составляет - 1 677,12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соглашения (регуляторный контракт) об условии осуществления регулируемой деятельности в сфере газоснабжения Липецкой области планируется выполнить строительство закольцовочного газопровода от ГРС-4 "Липецк" до с. Желтые Пески.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исполнения Программы по расширению использования компримированного природного газа (метана) в качестве моторного топлива на собственном автотранспорте организаций групп лиц ООО "Газпром Межрегионгаз" планируется выполнить строительство газопроводов к сети автомобильных газонаполнительных компрессорных станций.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Основные проблемы, возникающие при эксплуатации систем газоснабжения: нарушение охранных зон газопроводов при самовольном строительстве объектов различного назначения и проведении без согласования земляных работ; дебиторская задолженность потребителей газа за оказанные услуги по техническому обслуживанию и ремонту газопроводов, газового оборудования и аварийно-диспетчерскому обслуживанию.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Водоснабжение и водоотведение. Система централизованного водоснабжения города - объединенная хозяйственно-противопожарная. Система подачи воды - централизованная напорная. Водоснабжение ряда производственных объектов осуществляется от нецентрализованных систем водоснабжения. Основными потребителями воды являются население города - 50,7% потребления от общего потребления города Липецка; бюджетные организации - 4,2%; прочие потребители - 46,5%. Крупнейшими промышленными потребителями воды являются предприятия: ПАО "Квадра" с 31% потребления от общего потребления города Липецка; АО "Прогресс" - 4,09%; АО "ЛГЭК" - 1,5%; АО "Данон Россия" - 1,4%; ООО "Л-ПАК" - 0,4%.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Водопроводные сети преимущественно закольцованы, по тупиковой схеме выполнены сети </w:t>
      </w:r>
      <w:r>
        <w:lastRenderedPageBreak/>
        <w:t>только по отдельным улицам в зонах индивидуальной жилой застройки. Сети проложены бесканальным способом в грунте. Общая протяженность магистральных и распределительных сетей питьевого водоснабжения города, эксплуатируемых ООО "РВК-Липецк", составляет 1 063,1 км и водопроводных сетей, не находящихся в хозяйственном ведении - 183,3 км.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Сети выполнены в основном из стальных, чугунных и полиэтиленовых трубопроводов диаметром от 15 мм до 1200 мм, имеют большой износ и частично требуют замены. Протяженность сетей, по техническому состоянию имеющие 100% износ, составляет 637,8 км или 60% от общей протяженности водопроводных сетей ООО "РВК-Липецк". Общее состояние централизованной системы водоснабжения характеризуется как работоспособное, с наличием проблемных участков и объектов.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источниками водоснабжения населения являются 15 водозаборов, которые находятся в эксплуатационном ведении ООО "РВК-Липецк". Качество воды в скважинах большинства водозаборов соответствует санитарным нормам и не требует дополнительной водоподготовки.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Основные проблемы системы централизованного водоснабжения города Липецка: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высокая степень износа и старение водопроводных сетей;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бесхозяйных водопроводных сетей;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энергоемкость оборудования, приводящая к высоким затратам по доставке воды потребителям;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снижение уровня подземных вод;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нехватка воды в летний период в районах индивидуальной жилой застройки в пос. Дачный, пос. Сырский Рудник и пос. Северный Рудник, связанная с нерачительным потреблением питьевой воды, используемой для полива приусадебных участков с превышением норматива на полив;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нитратное загрязнение воды источников водоснабжения, расположенных в правобережной части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Водоотведение (очистные сооружения канализации). Основными источниками сточных вод является население города, учреждения социального, культурного, бытового обслуживания, промышленные предприятия и коммерческие организации. Сточные воды от жилой застройки, объектов соцкультбыта, промпредприятий собираются системой коллекторов и канализационных насосных станций и поступают на канализационные очистные сооружения города и локальные очистные сооружения ПАО "НЛМК". Очистные сооружения в настоящее время эксплуатируются ООО "РВК-Липецк" в рамках концессионного соглашения.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Отведение и транспортирование хозяйственно-бытовых сточных вод от абонентов в городе Липецке осуществляется через систему самотечных трубопроводов на канализационные насосные станции, которые последовательно по напорным коллекторам перекачивают сточные воды на очистные сооружения. Сети проложены бесканальным способом в грунте.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Общая протяженность самотечных и напорных сетей хозяйственно-бытовой канализации, эксплуатируемых ООО "РВК-Липецк", составляет 898,2 км и канализационных сетей, не находящихся в хозяйственном ведении - 103,42 км. Протяженность сетей, по техническому состоянию имеющих 100% износ, составляет 615,26 км, или 68,5% от общей протяженности сетей ООО "РВК-Липецк".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Общее состояние централизованной системы водоотведения характеризуется как </w:t>
      </w:r>
      <w:r>
        <w:lastRenderedPageBreak/>
        <w:t>работоспособное, с наличием проблемных участков и объектов. Централизованная система водоотведения представляет собой сложную систему инженерных сооружений, надежная и эффективная работа которых является одной из важнейших составляющих благополучия города. Приоритетными направлениями развития системы водоотведения являются повышение надежности работы сетей и сооружений. Практика показывает, что трубопроводные сети являются, не только более функционально значимым элементом системы канализации, но и наиболее уязвимым с точки зрения надежности.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Основные проблемы системы централизованного водоотведения города Липецка: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износ сетей водоотведения;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физический и моральный износ основного оборудования некоторых КНС;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территорий, не охваченных централизованным водоотведением;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недостаточная степень автоматизации и диспетчеризации насосных станций;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бесхозяйных сетей водоотведения;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несоответствие современным экологическим нормам;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низкий уровень культуры пользования населения централизованной системой водоотведения, выражающийся в сбросе веществ, запрещенных к сбросу.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Основными направлениями развития централизованной системы водоотведения являются создание условий для приведения коммунальной инфраструктуры в соответствие со стандартами качества, обеспечивающими комфортные условия проживания граждан города, а также улучшение экологической ситуации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Переселение граждан из аварийного жилищного фонда является приоритетной задачей в развитии социально-экономической сферы страны.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Расселение аварийного жилищного фонда осуществляется в рамках регионального проекта "Обеспечение устойчивого сокращения непригодного для проживания жилищного фонда" национального </w:t>
      </w:r>
      <w:hyperlink r:id="rId60">
        <w:r>
          <w:rPr>
            <w:color w:val="0000FF"/>
          </w:rPr>
          <w:t>проекта</w:t>
        </w:r>
      </w:hyperlink>
      <w:r>
        <w:t xml:space="preserve"> "Жилье и городская среда".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Реализация мероприятий по переселению из аварийного жилищного фонда стимулирует развитие строительной отрасли, а также смежных отраслей, приводит к развитию транспортной и коммунальной инфраструктуры города, строительству объектов социально-культурного назначения.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настоящее время признано аварийными и подлежащими сносу 190 многоквартирных дома, из них в мероприятия по переселению включены 122 аварийных дома, признанных таковыми до 01.01.2017. Переселение жителей из указанных 122 домов будет завершено до 31.12.2023.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Успешная реализация программных мероприятий по переселению граждан из аварийного жилищного фонда стала стимулом для инициирования жителями старых домов процесса признания их аварийными.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Ежегодно аварийными и подлежащими сносу признаются порядка 10 многоквартирных домов.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Стратегическое решение задачи по сокращению аварийного жилищного фонда предполагает опережающие темпы расселения над темпами признания многоквартирных домов аварийными, для чего необходимо разработка и ежегодная реализация целевых программных </w:t>
      </w:r>
      <w:r>
        <w:lastRenderedPageBreak/>
        <w:t>мероприятий с привлечением средств бюджетов различного уровня. Реализация мероприятий по переселению из аварийного жилья целесообразно осуществлять комплексно - как целевым строительством домов, так и закупкой готовых квартир.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Повышение эффективности использования ресурсов и снижение затрат на коммунальные услуги за счет внедрения новых технологий в управлении жилищным фондом, автоматизации процессов управления, внедрения инновационных решений в сфере энергосбережения и повышения энергоэффективности.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Модернизация всех видов инженерных сетей, связанных с обеспечением населения коммунальными ресурсами.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Внедрение систем автоматизации и диспетчеризации.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Использование возобновляемых источников энергии.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Применение современных технологий для повышения эффективности использования ресурсов.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Обеспечение устойчивого сокращения непригодного для проживания жилищного фонда и обеспечение безопасных и благоприятных условий проживания граждан.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9 -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населения, потребляющего качественную питьевую воду, соответствующую требованиям СанПиН,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водопроводных сетей,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водоотведения,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 xml:space="preserve">Строительство и реконструкция сетей </w:t>
            </w:r>
            <w:r>
              <w:lastRenderedPageBreak/>
              <w:t>газоснабжения,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16,0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28,9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теплоснабжения,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8,4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11,7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сетей электроснабжения, км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firstLine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47,7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49,6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firstLine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61,2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63,6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firstLine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53,9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63,6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68,7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Удельный вес общей площади ветхих и аварийных домов во всем жилищном фонде,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0,67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0,33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паспортизированных инженерных сетей и объектов от количества выявленных бесхозяйных сетей и объектов,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8,8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10,1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10,8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10. Природные ресурсы, улучшение экологического благополучия</w:t>
      </w:r>
    </w:p>
    <w:p w:rsidR="00BC7753" w:rsidRDefault="00BC7753">
      <w:pPr>
        <w:pStyle w:val="ConsPlusNormal"/>
        <w:jc w:val="center"/>
      </w:pPr>
      <w:r>
        <w:t xml:space="preserve">(в ред. </w:t>
      </w:r>
      <w:hyperlink r:id="rId6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Состояние окружающей среды принципиально важно для обеспечения здоровья населения, перспективного развития региона и страны. Город Липецк является крупным промышленным центром России с высокой степенью антропогенной нагрузки, в связи с чем, проблема техногенного загрязнения объектов окружающей среды является достаточно острой.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Город Липецк является одним из 12 городов - участников федерального </w:t>
      </w:r>
      <w:hyperlink r:id="rId62">
        <w:r>
          <w:rPr>
            <w:color w:val="0000FF"/>
          </w:rPr>
          <w:t>проекта</w:t>
        </w:r>
      </w:hyperlink>
      <w:r>
        <w:t xml:space="preserve"> "Чистый </w:t>
      </w:r>
      <w:r>
        <w:lastRenderedPageBreak/>
        <w:t xml:space="preserve">воздух", который реализуется в рамках </w:t>
      </w:r>
      <w:hyperlink r:id="rId63">
        <w:r>
          <w:rPr>
            <w:color w:val="0000FF"/>
          </w:rPr>
          <w:t>нацпроекта</w:t>
        </w:r>
      </w:hyperlink>
      <w:r>
        <w:t xml:space="preserve"> "Экология". В соответствии с </w:t>
      </w:r>
      <w:hyperlink r:id="rId64">
        <w:r>
          <w:rPr>
            <w:color w:val="0000FF"/>
          </w:rPr>
          <w:t>Указом</w:t>
        </w:r>
      </w:hyperlink>
      <w:r>
        <w:t xml:space="preserve"> Президента России "О национальных целях и стратегических задачах развития Российской Федерации на период до 2024 года" от 7 мая 2018 года N 204 необходимо обеспечить к 2026 году кардинальное снижение уровня загрязнения атмосферного воздуха в крупных промышленных центрах, в том числе уменьшение не менее чем на 20% совокупного объема выбросов загрязняющих веществ в атмосферный воздух в наиболее загрязненных городах. В целях снижения антропогенной нагрузки на атмосферный воздух на территории города Липецка реализуется региональный проект "Чистый воздух". Объем выбросов загрязняющих веществ в атмосферу от стационарных источников города ежегодно снижается и в 2021 году составил 271,6 тыс. тонн. При этом состояние атмосферного воздуха в городе Липецке, согласно данным государственного мониторинга, характеризовалось комплексным индексом загрязнения атмосферы на уровне "низкий".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4 - Соотношение затрат на охрану окружающей среды</w:t>
      </w:r>
    </w:p>
    <w:p w:rsidR="00BC7753" w:rsidRDefault="00BC7753">
      <w:pPr>
        <w:pStyle w:val="ConsPlusNormal"/>
        <w:jc w:val="center"/>
      </w:pPr>
      <w:r>
        <w:t>и выбросов загрязняющих атмосферу веществ, отходящих</w:t>
      </w:r>
    </w:p>
    <w:p w:rsidR="00BC7753" w:rsidRDefault="00BC7753">
      <w:pPr>
        <w:pStyle w:val="ConsPlusNormal"/>
        <w:jc w:val="center"/>
      </w:pPr>
      <w:r>
        <w:t>от стационарных источников, сброс загрязненных сточных вод</w:t>
      </w:r>
    </w:p>
    <w:p w:rsidR="00BC7753" w:rsidRDefault="00BC7753">
      <w:pPr>
        <w:pStyle w:val="ConsPlusNormal"/>
        <w:jc w:val="center"/>
      </w:pPr>
      <w:r>
        <w:t>в поверхностные водные объекты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194"/>
        </w:rPr>
        <w:drawing>
          <wp:inline distT="0" distB="0" distL="0" distR="0">
            <wp:extent cx="5545455" cy="260794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Остается крайне актуальной проблемой рост объемов выбросов вредных веществ в атмосферный воздух от передвижных источников. Количество автотранспортных средств ежегодно увеличивается. В 2020 году прирост составил более 6,8 тыс. единиц. Автомобиль является источником выбросов в атмосферу более 200 ингредиентов вредных веществ, многие из которых имеют канцерогенное и мутагенное воздействие.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Модернизация транспорта обеспечивает экологичность и безопасность будущего развития крупнейших населенных пунктов.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регионального проекта "Чистый воздух" в 2022 году город Липецк получил финансирование из федерального бюджета в размере 500 млн. рублей на обновление общественного транспорта. На эти средства администрацией города Липецка приобретено 25 автобусов на газомоторном топливе. В 2023 году приобретены 46 автобусов на газомоторном топливе на сумму 800 млн рублей.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Город Липецк также является одним из 10 городов-участников федеральной программы по обновлению инфраструктуры и подвижного состава городского электрического транспорта.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Проект реализуется в рамках концессии с поддержкой федерального бюджета в размере 30% от первоначального объема инвестиций. Остальные инвестиции возвратные, но с </w:t>
      </w:r>
      <w:r>
        <w:lastRenderedPageBreak/>
        <w:t>привлечением средств ВЭБ.РФ и ФНБ по субсидированной ставке (5 - 5,65%).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Концессионное соглашение о создании, реконструкции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пользования, было подписано между Правительством Липецкой области, администрацией города Липецка и ООО "МОВИСТА РЕГИОНЫ Липецк" 05.10.2022. Срок концессии - 20 лет.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рамках проекта планируется ремонт 40,8 км трамвайных путей, строительство 5,2 км новых путей (по ул. Стаханова - ул. Катукова), модернизация депо и закупка 46 новых трамвайных вагонов. Предварительный объем инвестиций - 13,8 млрд. руб. Инвестиционная фаза проекта, включающая обновление инфраструктуры и закупку новых трамваев, запланирована в период 2023 - 2025 годов.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Кроме того, в рамках проекта комплексного развития электротранспорта в 2023 году планируется закупка 10 электробусов и 3 ультрабыстрых зарядных станций для них. Электробусные маршруты должны будут осуществлять функцию подвоза пассажиров к трамвайной сети с жилых массивов, размещенных на окраинах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стимулирования переориентации владельцев транспортных средств на использование автомобильного транспорта, работающего на компримированном природном газе, на территории города Липецка действуют 3 заправки АГНС.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Основной водной артерией города Липецка является р. Воронеж. Также в черте города протекает р. Липовка, располагаются пруды и обводненные карьеры.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Качество воды в р. Воронеж в створах выше города слабозагрязненная, в черте города и в створах ниже города - очень загрязненная. Основными загрязняющими веществами воды в реке являются: азот нитритный, железо общее, фосфаты, БПК5, ХПК, нефтепродукты, медь и фенолы летучие.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улучшения качества р. Воронеж необходимо проведение следующих мероприятий: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организация локальных очистных сооружений на выпусках дождевой канализации на территории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ливневых коммуникаций автомобильных мостов с целью отвода дождевых вод;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организация новых мест приема жидких бытовых отходов на территории города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разработка проектов планировки и проектов межевания территории с обязательным условием подключения вновь строящихся предприятий, жилых и общественных зданий к центральной канализации;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расчистка русла реки Липовка;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расчистка русла ручья Студеный;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проведение рейдов по выявлению несанкционированной мойки автомобилей в пределах водоохранной зоны р. Воронеж;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регулярный вывоз твердых коммунальных отходов (соблюдение графика вывоза), ликвидация несанкционированных свалок;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централизованных систем канализации в районах индивидуальной застройки (Сселки, Желтые Пески, Ниженка, Опытная, Коровино, Заречье);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- повышение качества очистки сточных вод на очистных сооружениях МУП "ЛиСА" перед выпуском в р. Воронеж.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настоящее время разработана проектно-сметная документация по объекту "Строительство и реконструкция городских очистных сооружений МУП "Липецкая станция аэрации", которая прошла государственную экспертизу.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реализации проекта ООО "РВК-Липецк" обратилось с частной концессионной инициативой в отношении создания, реконструкции и эксплуатации отдельных объектов централизованной системы водоотведения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соответствии с проектом концессионного соглашения планируется привлечение необходимых инвестиций для реализации мероприятий по реконструкции очистных сооружений МУП "ЛиСА" в период с 2023 по 2026 годы.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муниципальную собственность города оформлены 6 водных объектов: пруд "Кирпичный", пруд N 1 в районе жилого дома N 21 по ул. Буденного, пруд N 2 в районе жилого дома N 23 по ул. Буденного, пруд по ул. Известковая, пруд в районе 3 участка ЛТЗ, пруд по ул. Земная. Вышеперечисленные водные объекты внесены в государственный водный реестр.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целью повышения рекреационной привлекательности выполняются работы по благоустройству территории, прилегающей к водным объектам.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Фактическая обеспеченность зелеными насаждениями в 2022 году в городе Липецке составляет 13,1 кв. м на человека (согласно Генеральному </w:t>
      </w:r>
      <w:hyperlink r:id="rId66">
        <w:r>
          <w:rPr>
            <w:color w:val="0000FF"/>
          </w:rPr>
          <w:t>плану</w:t>
        </w:r>
      </w:hyperlink>
      <w:r>
        <w:t xml:space="preserve"> городского округа города Липецка на период до 2042 года, утвержденному постановлением Правительства Липецкой области от 30 декабря 2022 года N 370), что свидетельствует о недостаточной площади благоустроенной системы озеленения городской среды. Зеленый фонд города представлен, в основном, старовозрастными насаждениями, особенно в жилых районах ранней застройки (районы "НЛМК", "Сокол", "ЛТЗ", "Центр"). По территории города зеленые насаждения распределены также неравномерно. В новых жилых районах их явно недостаточно, и они представлены молодыми деревьями и кустарниками.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Липецка находятся 2 территории и 4 объекта, имеющие статус особо охраняемых природных территорий местного значения: "Урочище "Сосновый лес", "Парк "Быханов сад", "Дуб на ул. Первомайской", "Дуб у 47 школы", "Вяз на ул. Ленина", "Бархат амурский у Евдокиевской церкви".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Твердые коммунальные отходы (далее - ТКО), образующиеся на территории города Липецка до апреля 2023 года размещались на полигоне "Центролит". В дальнейшем данная территория будет рекультивирована на основании разработанной проектной документации "Проект по рекультивации земель, находящихся в муниципальной собственности, нарушенных при складировании и захоронении отходов производства и потребления на городском полигоне захоронения твердых бытовых отходов в виде брикетов на территории бывших отстойников хозфекальных стоков "Центролит", прошедшей государственную экспертизу.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функционирует комплекс по сортировке и брикетированию ТКО мощностью 200 тыс. тонн в год.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по данным регионального оператора АО "ЭкоПром-Липецк" на территории города образовано 144,1 тыс. тонн ТКО (2021 г. - 147,2 тыс. тонн), на полигоне "Центролит" размещено 135,9 тыс. тонн ТКО, масса отобранных вторичных материальных ресурсов (далее - ВМР) на линии сортировки составила 5792 тонны, в результате раздельного накопления ТКО собрано ВМР: макулатура - 92,9 тонн, пластик - 585,1 тонн.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Увеличение доли обработанных и утилизированных ТКО и сокращение доли отходов, </w:t>
      </w:r>
      <w:r>
        <w:lastRenderedPageBreak/>
        <w:t xml:space="preserve">направляемых на захоронение, являются приоритетными задачами федерального </w:t>
      </w:r>
      <w:hyperlink r:id="rId67">
        <w:r>
          <w:rPr>
            <w:color w:val="0000FF"/>
          </w:rPr>
          <w:t>проекта</w:t>
        </w:r>
      </w:hyperlink>
      <w:r>
        <w:t xml:space="preserve"> "Комплексная система обращения с твердыми коммунальными отходами" национального проекта "Экология".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Липецка активно внедряется система раздельного накопления отходов. Всего на территории города размещено 2440 контейнерных площадок для сбора ТКО. Оборудовано под евроконтейнеры 880 контейнерных площадок. В целях раздельного сбора отходов на контейнерных площадках установлено 953 контейнера (для сбора ПЭТ-отходов, дуального сбора отходов). По версии Greenpeace в 2020 году город Липецк занял 4 место по развитию системы раздельного сбора ТКО среди городов с численностью населения 500 тыс. чел.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В рамках Федерального </w:t>
      </w:r>
      <w:hyperlink r:id="rId68">
        <w:r>
          <w:rPr>
            <w:color w:val="0000FF"/>
          </w:rPr>
          <w:t>проекта</w:t>
        </w:r>
      </w:hyperlink>
      <w:r>
        <w:t xml:space="preserve"> "Чистая страна" осуществляются работы по рекультивации объектов накопленного экологического вреда - полигона строительных и нетоксичных промышленных отходов "Орлиный Лог", полигона ТБО "Венера" и части земельного участка по адресу: Липецкая обл., г. Липецк, п. Северный Рудник, владение 1Б, нарушенного при складировании и захоронении отходов производства и потребления.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Город Липецк - городской округ устойчивого развития с высоким уровнем экологического благополучия и экологически ориентированным ростом экономики, благоприятными условиями для жизни человека и обладающий системой эффективного обращения с отходами производства и потребления.</w:t>
      </w:r>
    </w:p>
    <w:p w:rsidR="00BC7753" w:rsidRDefault="00BC7753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Внедрение механизма планирования и реализации хозяйствующими субъектами природоохранных мероприятий и ESG стратегий в рамках достижений ключевых целей устойчивого 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Создание системы мер, стимулирующих внедрение и использование природосберегающих (инновационных, экологически чистых и безопасных) технологий, позволяющих снизить и устранить негативное воздействие хозяйственной деятельности на природную среду, в том числе постепенное снижение экологических рисков, связанных с работой металлургических производств, за счет технологической модернизации и использования современного оборудования.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Сохранение и развитие парков и озелененных территорий общего пользования.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Благоустройство и озеленение городской территории, санитарно-защитных зон.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Внедрение современных методов сбора, сортировки и переработки твердых бытовых отходов, включая возможность их повторного использования.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Участие в повышении эффективности управления в области обращения с опасными отходами.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Совершенствование экологического сознания и экологической культуры населения.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10 -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 xml:space="preserve">Снижение выбросов опасных загрязняющих веществ, оказывающих наибольшее негативное воздействие на окружающую среду и здоровье </w:t>
            </w:r>
            <w:r>
              <w:lastRenderedPageBreak/>
              <w:t>человека, % по отношению к 2017 году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51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ТКО, направленных на обработку, в общем объеме образованных ТКО,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ТКО, направленных на утилизацию, в общем объеме образованных ТКО,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70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11. Политика в области экономики и предпринимательства.</w:t>
      </w:r>
    </w:p>
    <w:p w:rsidR="00BC7753" w:rsidRDefault="00BC7753">
      <w:pPr>
        <w:pStyle w:val="ConsPlusTitle"/>
        <w:jc w:val="center"/>
      </w:pPr>
      <w:r>
        <w:t>ESG-трансформация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70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городе Липецке предпринимательство за последние годы сформировалось как самостоятельный сектор экономики, где эффективно реализуются инструменты муниципальной политики, направленные на развитие социально-экономического комплекса. Сегодня предпринимательство - это динамично развивающийся сектор экономики с надежной налогооблагаемой базой и реальный источник создания новых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данным Федеральной налоговой службы на 01.01.2023 в городе Липецке зарегистрировано 21780 субъектов малого и среднего предпринимательства (далее - субъекты МСП), в том числе индивидуальных предпринимателей - 12102 человек, юридических лиц - 9678 единиц.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Анализ структуры бизнеса города Липецка в разрезе экономических комплексов по показателям 2021 года среди 5842 действующих стратегических предприятий города Липецка продемонстрировал, что в количественном составе преобладают предприятия торгово-транспортно-логистического комплекса, доля которого составляет 32% от общего количества предприятий. При этом лидером в показателях финансово-хозяйственной деятельности выступает металлургический комплекс: 28,7% численности сотрудников, 54,2% выручки и 83,8% чистой прибыли.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5 - Анализ структуры бизнеса города Липецка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sectPr w:rsidR="00BC7753" w:rsidSect="00530E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7753" w:rsidRDefault="00BC7753">
      <w:pPr>
        <w:pStyle w:val="ConsPlusNormal"/>
        <w:jc w:val="center"/>
      </w:pPr>
      <w:r>
        <w:rPr>
          <w:noProof/>
          <w:position w:val="-172"/>
        </w:rPr>
        <w:lastRenderedPageBreak/>
        <w:drawing>
          <wp:inline distT="0" distB="0" distL="0" distR="0">
            <wp:extent cx="6336030" cy="232664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sectPr w:rsidR="00BC775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Экономическое развитие города Липецка неразрывно связано с флагманом экономики - ПАО "НЛМК" - крупнейшим сталелитейным комбинатом в Российской Федерации. Группа НЛМК выпускает ежегодно около 21% от всего российского производства стали, 21% - проката, 55% - проката с полимерным покрытием.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Моноотраслевая структура экономики определяет сильную зависимость города Липецка от экономической ситуации на ПАО "НЛМК", поэтому одной из ключевых целей города является создание условий для организации и развития эффективных, конкурентоспособных и экологически безопасных производств. Большую роль в этом играет малое и среднее предпринимательство, которое поддерживает и обеспечивает рыночную конкурентную атмосферу, создает многообразие участников рынка. Малое и среднее предпринимательство берет на себя роль по формированию дополнительного спроса на потребительские товары, работы и услуги, а также образует дополнительные доходы у населения.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структуре МСП преобладает сфера торговли. Оборот розничной торговли по крупным и средним предприятиям по итогам 2022 года составил 103,3 млрд. рублей или 110,6% к соответствующему периоду 2021 года. Фактический показатель обеспеченности населения торговыми площадями растет. По итогам 2022 года он составил 1084,0 кв. м на 1000 жителей (при нормативе 760 кв. м), в 2021 - 1059,3 кв. м на 1000 жителей, что отражает рост на 142,6% от норматива.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обеспечения населения города сельскохозяйственной продукцией местных производителей в шаговой и ценовой доступности, а также в качестве одной из мер по сдерживанию роста цен на продовольственные товары проводится работа по проведению ярмарок.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 01.07.2020 на территории Липецкой области введен специальный налоговый режим "Налог на профессиональный доход", и количество заинтересованных лиц, желающих легально работать и оформить самозанятость, ежегодно увеличивается. По состоянию на 01.01.2023 в городе Липецке зарегистрировано более 16000 самозанятых.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Администрация города Липецка создает условия для поддержки и развития малого и среднего бизнеса. Реализация мероприятий позволила сформировать комплексную систему финансовой, имущественной и информационной поддержки субъектов предпринимательства и самозанятых граждан.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популяризации предпринимательства проводятся форумы, обучающие мероприятия с привлечением представителей органов муниципальной и региональной власти, организаций, образующих инфраструктуру поддержки бизнеса, бизнес-тренеров, в том числе федерального значения. На долгосрочной основе субъектам малого и среднего предпринимательства предоставляются в аренду объекты из реестра муниципального имущества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2012 году в городе Липецке создан МБУ "Технопарк-Липецк" (далее - Технопарк), который является организацией, образующей инфраструктуру поддержи субъектов МСП. Технопарк создает благоприятную среду для развития малого и среднего инновационного предпринимательства, снижает издержки в производственных процессах резидентов Технопарка, взаимодействует с вузами и НИИ, осуществляет передачу технологий от разработчиков в действующие предприятия промышленности, оказывает содействие партнерству между государственным и частным секторами экономики. Сотрудники Технопарка оказывают информационно-консультационную поддержку субъектам МСП и самозанятым гражданам. В целях ранней профориентации учащихся проводятся экскурсии по производствам резидентов.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За годы работы Технопарка более 70 стартапов реализовали свои проекты по следующим направлениям: энергосберегающие и чистые технологии; экспортоориентированные и </w:t>
      </w:r>
      <w:r>
        <w:lastRenderedPageBreak/>
        <w:t>импортозамещающие производства; информационные технологии; социально-значимые проекты. В 2023 году введен в эксплуатацию лабораторный корпус площадью 1,8 тыс. кв. м. Общая площадь имущественного комплекса составляет 16,6 тыс. кв. м, объем налоговых отчислений составил 530 миллионов рублей, в Роспатенте зарегистрированы права на 28 результатов интеллектуальной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числе структур поддержки крупного бизнеса и развития благоприятных условий можно выделить особую экономическую зону промышленно-производственного типа "Липецк", имеющую площадки на территории Липецко-Елецкой агломерации. В ближайшее время на территории бывшего Липецкого тракторного завода планируется запуск третьего участка ОЭЗ "Липецк", где локализуется производство сельхозтехники. Фонд развития промышленности Липецкой области предоставляет финансовую поддержку для реализации высокотехнологичных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территории города поддержку субъектам МСП осуществляют региональные и муниципальные инфраструктуры: МКК "Липецкий областной фонд поддержки МСП", АНО "ЦПЭ Липецкой области" (Центр "Мой бизнес") и другие.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Субъектам МСП и самозанятым гражданам предоставляется широкий спектр мер поддержки, среди которых организация участия в межрегиональных и международных бизнес-миссиях и выставках, форумах, проведение обучающих мероприятий, льготная имущественная и финансовая поддержка, консультирование по вопросам ведения предпринимательской деятельности и другие.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Защиту прав и законных интересов бизнеса осуществляет Уполномоченный по защите прав предпринимателей в Липецкой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Региональные и муниципальные органы власти на постоянной основе взаимодействуют с региональными отделениями общественных бизнес-объединений, среди которых "Липецкая торгово-промышленная палата", "Союз промышленников и предпринимателей Липецкой области", "ОПОРА РОССИИ", "Деловая Россия", "Ассоциация малоформатной торговли".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Кроме того, в регионе созданы и местные объединения предпринимателей, такие как "Закрытый клуб предпринимателей" и "Открытая предпринимательская гильдия".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обеспечения взаимодействия органов местного самоуправления и субъектов малого и среднего предпринимательства в городе Липецке создан многовекторный механизм поддержки - Координационный совет по развитию МСП. Он включает несколько ступеней, от выявления общих и структурных проблем, до определения конкретных рычагов преодоления кризисных проблем на предприятиях.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условиях турбулентности ESG-повестка становится все более актуальной для города Липецка, который стремится к устойчивому развитию и созданию стойких конкурентных преимуществ. Предприятия готовы внедрять тренд на ответственность и экологичность. Лидером в данном направлении является ПАО "НЛМК", которое с 2022 года ежемесячно удерживает лидирующие позиции в рейтинге независимого агентства RAEX.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Другими компаниями города также реализуются проекты устойчивого развития и в ближайшие годы, несмотря на трудности в экономической сфере, бизнес планирует продолжать работу в данном направлении.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2023 году Правительство Липецкой области, администрация города Липецка и АО "Липецкцемент" заключили трехстороннее соглашение о социально-экономическом сотрудничестве на три года, согласно которому предприятие намерено выделять по 16 млн. руб. ежегодно на развитие объектов социальной сферы. Таким образом, за 2023 - 2025 годы АО "Липецкцемент" направит на эти цели 48 млн. руб.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На бизнес, который соответствует принципам экологичного производства, социальной ответственности и развитой корпоративной культуре будет сделан особый акцент. В приоритете - развитие бизнеса с бережным отношением к природе, работникам и обществу.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Цель: Липецк - областной центр с развитым предпринимательством, важную роль в формировании которого играют малые и средние предприятия, способствующие увеличению числа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Создание благоприятного предпринимательского климата и условий для ведения предпринимательской деятельности.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Укрепление кадрового и предпринимательского потенциала.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Обеспечение доступности финансовой, имущественной, образовательной и информационно-консультационной поддержки для субъектов МСП.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Стимулирование внедрения на предприятиях принципов ESG.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Совершенствование инструментов развития и поддержки МСП.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Популяризация в городе института "Бизнес-куратор".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11 -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Объем отгруженных товаров собственного производства, выполненных работ и услуг собственными силами по крупным и средним предприятиям и организациям, млрд. руб.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865,7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1062,1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1352,5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1465,6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865,7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1161,1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1553,4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1932,1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865,7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901,6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1184,4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1810,4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2821,6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 и самозанятых, тыс.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89,8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91,6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94,0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97,6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86,6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101,1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109,4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Число субъектов МСП на 10 тыс. человек, ед.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lastRenderedPageBreak/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439,6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710,0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733,0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740,0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439,6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715,0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738,0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439,6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444,1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725,0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749,0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35,3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35,7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28,6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36,0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12. Рынок труда и кадровое обеспечение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целом ситуация на рынке труда города Липецка является стабильной. Среднегодовая численность занятых в 2021 году составила 271,5 тыс. чел., или 54,0% от общей численности населения города Липецка. В период с 2015 по 2021 год среднегодовая численность занятых сократилась на 3,4 тыс. человек, или на 1,3%. Данная тенденция объясняется негативной динамикой демографических показателей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последние 15 лет уровень регистрируемой безработицы постепенно снижался и в 2022 году составил 0,35%. Наблюдается слабая напряженность на рынке труда: коэффициент напряженности на рынке труда составил 0,25 чел. на 1 вакансию.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общее количество вакансий, предоставленных работодателями в службу занятости, составило 17,6 тыс. ед.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рынке труда сохраняется дефицит квалифицированных рабочих кадров. Основной спрос на кадры в 2022 году составили вакансии по рабочим профессиям - 75%, из которых большинство предназначалось для замещения работниками квалифицированного труда по традиционным профессиям в организациях и предприятиях, работающих в сферах деятельности: обрабатывающие производства, строительство, сельское, лесное хозяйство, охота, рыболовство и рыбоводство. Среди специалистов наиболее востребованы медицинские сестры, фельдшеры, инженеры, учителя, воспитатели.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структурном составе граждан, обратившихся в службу занятости в 2022 году, 2,9% составляют граждане, уволенные в связи с сокращением численности или штата работников. Сегмент молодежи в возрасте до 35 лет и лиц предпенсионного возраста от общего числа обратившихся составил соответственно 60,4% и 2,6%, доля женщин - 55%, инвалидов - 3%.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при содействии службы занятости было трудоустроено около 9 тыс. человек. Доля трудоустроенных граждан от числа обратившихся составила 76%.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6 - Средняя номинальная начисленная заработная плата</w:t>
      </w:r>
    </w:p>
    <w:p w:rsidR="00BC7753" w:rsidRDefault="00BC7753">
      <w:pPr>
        <w:pStyle w:val="ConsPlusNormal"/>
        <w:jc w:val="center"/>
      </w:pPr>
      <w:r>
        <w:t>работников крупных и средних предприятий и организаций</w:t>
      </w:r>
    </w:p>
    <w:p w:rsidR="00BC7753" w:rsidRDefault="00BC7753">
      <w:pPr>
        <w:pStyle w:val="ConsPlusNormal"/>
        <w:jc w:val="center"/>
      </w:pPr>
      <w:r>
        <w:lastRenderedPageBreak/>
        <w:t>города Липецка, тыс. рублей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242"/>
        </w:rPr>
        <w:drawing>
          <wp:inline distT="0" distB="0" distL="0" distR="0">
            <wp:extent cx="5545455" cy="322516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На протяжении последних 15 лет средняя номинальная заработная плата в городе имела устойчивую тенденцию к росту.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Средняя номинальная начисленная заработная плата работников крупных и средних предприятий и организаций города Липецка за январь - декабрь 2021 года составила 49 451 рубль, что на 6,9% выше, чем за аналогичный период 2020 года. Следует отметить, что размер среднемесячной заработной платы на протяжении последних лет один из самых высоких в ЦФО.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Создание сбалансированного, обеспечивающего потребности экономики в высококвалифицированных кадрах, предоставляющего населению возможности для профессионального развития, рынка труда.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Устранение дисбаланса спроса и предложения на рынке труда города путем создания гибкой сети центров занятости населения, полностью обеспечивающих кадровую потребность в городе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Организация взаимодействия профессиональных образовательных организаций со службой занятости и работодателями в целях гарантированного трудоустройства выпускников.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Организация эффективной профориентационной работы в общеобразовательных организациях в целях выработки у школьников сознательного отношения к труду, профессионального самоопределения в соответствии со своими возможностями, способностями и с учетом требований рынка труда.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Стимулирование трудовой деятельности работников старшего возраста, инвалидов, женщин, имеющих малолетних детей, выпускников организаций профессионального образования.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Определение прогнозной потребности в кадрах для предприятий города Липецка, в том числе в рамках проекта "Формирование стратегической потребности региона в кадрах".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lastRenderedPageBreak/>
        <w:t>Таблица 12 - Ключевые индикаторы</w:t>
      </w:r>
    </w:p>
    <w:p w:rsidR="00BC7753" w:rsidRDefault="00BC7753">
      <w:pPr>
        <w:pStyle w:val="ConsPlusNormal"/>
        <w:ind w:firstLine="540"/>
        <w:jc w:val="both"/>
      </w:pPr>
    </w:p>
    <w:p w:rsidR="00BC7753" w:rsidRDefault="00BC7753">
      <w:pPr>
        <w:pStyle w:val="ConsPlusNormal"/>
        <w:ind w:firstLine="540"/>
        <w:jc w:val="both"/>
      </w:pPr>
      <w:r>
        <w:t xml:space="preserve">(в ред. </w:t>
      </w:r>
      <w:hyperlink r:id="rId73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26.12.2024 N 871)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1020"/>
        <w:gridCol w:w="1020"/>
        <w:gridCol w:w="1020"/>
      </w:tblGrid>
      <w:tr w:rsidR="00BC7753">
        <w:tc>
          <w:tcPr>
            <w:tcW w:w="396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Среднегодовая численность занятых в экономике, тыс. чел.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269,9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273,8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275,8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271,5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272,4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274,3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276,4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Уровень регистрируемой безработицы,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0,40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0,15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Доля трудоустроенных граждан в общем числе граждан, обратившихся за трудоустройством, %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75,0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79,1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78,2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79,9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Среднемесячная номинальная начисленная заработная плата работников крупных и средних предприятий и организаций, рублей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02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49 541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58 336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76 005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98 120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123 921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49 541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58 336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79 155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109 687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149 481</w:t>
            </w:r>
          </w:p>
        </w:tc>
      </w:tr>
      <w:tr w:rsidR="00BC7753">
        <w:tc>
          <w:tcPr>
            <w:tcW w:w="3969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49 541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58 336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87 334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138 420</w:t>
            </w:r>
          </w:p>
        </w:tc>
        <w:tc>
          <w:tcPr>
            <w:tcW w:w="1020" w:type="dxa"/>
          </w:tcPr>
          <w:p w:rsidR="00BC7753" w:rsidRDefault="00BC7753">
            <w:pPr>
              <w:pStyle w:val="ConsPlusNormal"/>
              <w:jc w:val="center"/>
            </w:pPr>
            <w:r>
              <w:t>207 002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13. Инвестиционная политика и политика в сфере инноваций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74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условиях формирования нового технологического уклада мировой экономики, возрастающей конкуренции за ресурсы, эффективное и динамичное развитие региона невозможно без развития инвестиционной деятельности. Становится очевидна необходимость создания и реализации эффективной инвестиционной стратегии.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 населения. По этой причине создание благоприятного инвестиционного климата является одним из основных приоритетов социально-экономического развития города.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7 - Инвестиции в основной капитал по крупным</w:t>
      </w:r>
    </w:p>
    <w:p w:rsidR="00BC7753" w:rsidRDefault="00BC7753">
      <w:pPr>
        <w:pStyle w:val="ConsPlusNormal"/>
        <w:jc w:val="center"/>
      </w:pPr>
      <w:r>
        <w:t>и средним предприятиям (без субъектов малого</w:t>
      </w:r>
    </w:p>
    <w:p w:rsidR="00BC7753" w:rsidRDefault="00BC7753">
      <w:pPr>
        <w:pStyle w:val="ConsPlusNormal"/>
        <w:jc w:val="center"/>
      </w:pPr>
      <w:r>
        <w:t>предпринимательства и объема инвестиций, не наблюдаемых</w:t>
      </w:r>
    </w:p>
    <w:p w:rsidR="00BC7753" w:rsidRDefault="00BC7753">
      <w:pPr>
        <w:pStyle w:val="ConsPlusNormal"/>
        <w:jc w:val="center"/>
      </w:pPr>
      <w:r>
        <w:t>прямыми статистическими методами)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237"/>
        </w:rPr>
        <w:drawing>
          <wp:inline distT="0" distB="0" distL="0" distR="0">
            <wp:extent cx="5545455" cy="315785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Наибольший объем инвестиций приходился на приобретение оборудования, машин, на строительство и реконструкцию зданий, сооружений. Лидирующую позицию по объему инвестиций в основной капитал по Липецкой области в 2022 году занимает город Липецк с показателем 55 600,5 млн. руб. или 83,4% к 2021 году.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На фоне неблагоприятных геополитических факторов и в условиях непрогнозируемой экономической ситуации возникла необходимость переориентации компаний на внутренний рынок. В результате в 2022 году произошло замедление реализации инвестиционных проектов и снижение объема инвестиций в основной капитал вследствие увеличения инвестиционной фазы, что в свою очередь оказало влияние на невозможность реализации инвестиционных проектов в запланированных показателях.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Традиционными отраслями экономики города Липецка в сфере промышленности являются металлургия и другие обрабатывающие производства. Промышленный комплекс города насчитывает около 996 предприятий и организаций, среди которых крупнейшие мировые производители.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Доля обрабатывающей промышленности в валовом региональном продукте составляет 48,9%. В промышленном производстве занято 28% от общей численности занятых в экономике региона.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Одним из важнейших факторов роста экономики города Липецка, обеспечивающего достойный уровень оплаты и привлечение наиболее квалифицированных и талантливых специалистов, является повышение производительности труда. Среди факторов, тормозящих рост производительности труда, - нехватка инвестиций в физический и человеческий капитал, </w:t>
      </w:r>
      <w:r>
        <w:lastRenderedPageBreak/>
        <w:t>отставание во внедрении технологических и управленческих инноваций.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Ключевые проблемы развития в сфере промышленности: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дефицит инженерно-технических кадров. Нехватка кадров, имеющих опыт работы с современными технологиями, а также слабое развитие материально-технической базы для их подготовки;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отсутствие либо недостаточные объемы НИОКР на предприятиях. Высокая зависимость от иностранного оборудования, комплектующих и технологий;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моральный и физический износ оборудования и инфраструктуры ряда производственных предприятий;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нехватка у ряда предприятий дешевых заемных средств для развития.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Конкурентные преимущества города Липецка в сфере промышленности: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локализация в городе и ближайшем пригороде ряда международных компаний, в том числе технологических лидеров в своих сегментах, обладающих конкурентоспособным производством, имеющих доступ к дешевым иностранным займам и современным технологиям;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многоуровневой инвестиционно-инновационной инфраструктуры: большое количество инвестиционных площадок для реализации новых проектов, в том числе территории с преференциальными режимами развития (ОЭЗ и технопарки), наличие успешного опыта применения и развития специальных экономических режимов.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Переход на усовершенствованные, более эффективные и инновационные технологии в отраслях обрабатывающей промышленности - одна из основных задач. Правительством Липецкой области предусмотрен ряд мероприятий, нацеленных на преобразования в отраслях обрабатывающей промышленности.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Создание производственных кластеров - один из главных приоритетов промышленной политики Липецкой области, направленных на модернизацию и инновационное развитие, снижение моноотраслевой зависимости экономики региона от металлургии.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Создается кластер сельхозмашиностроения. Приоритетным направлением деятельности кластера будет являться производство и реализация специальных машин для дорожно-строительной, логистической, торфодобывающей, коммунальной, лесной, сельскохозяйственной отраслей. Кластер разместится на территории бывшего тракторного завода.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Конкурентные преимущества города Липецка в части привлечения инвестиций: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выгодное географическое положение на пересечении транспортных коридоров в центре европейской части России и развитая система транспортной логистики, включая аэропорт с возможностью принимать международные рейсы;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развитая сеть и наличие возможности доступа к мощностям производственной инфраструктуры (электроэнергия, тепло, газ);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наличие автоматизированной информационной системы мониторинга и прогнозирования потребности в кадрах;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высокая доля инвестиций в открытие предприятий, производящих инновационную продукцию или использующих инновационные технологии;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наличие эффективной экосистемы инновационной инфраструктуры и государственной </w:t>
      </w:r>
      <w:r>
        <w:lastRenderedPageBreak/>
        <w:t>поддержки развития инновационных проектов (финансы, консультирование, обучение и прочее), а также системы поддержки инновационной деятельности по всем уровням готовности технологий.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Стимулирование привлечения инвестиций в экономику города целесообразно вести на основе формирования и управления специализированными объектами инновационно-инвестиционной инфраструктуры, такими как индустриальные парки, технопарки, инвестиционные площадки "гринфилд" и "браунфилд", бизнес-инкубаторы, инжиниринговый центр.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Важным этапом в улучшении инвестиционного климата стало вхождение Липецкой области в число пилотных субъектов по внедрению Регионального инвестиционного стандарта 2.0. Региональный инвестиционный стандарт разработан Министерством экономического развития РФ с целью формирования системы поддержки новых инвестиционных проектов. В 2022 году в Липецкой области полностью внедрен Инвестиционный стандарт 2.0 по пяти ключевым элементам.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По итогам внедрения регионального инвестиционного стандарта, в целях повышения эффективности деятельности органов местного самоуправления по созданию благоприятных условий для осуществления инвестиционной деятельности и привлечению инвестиций, Министерством экономического развития Российской Федерации принято решение развивать стандарт "вглубь" с целесообразностью создания муниципального образца. 26.09.2023 Приказом Министерства экономического развития Российской Федерации N 672 утверждены "Методические </w:t>
      </w:r>
      <w:hyperlink r:id="rId76">
        <w:r>
          <w:rPr>
            <w:color w:val="0000FF"/>
          </w:rPr>
          <w:t>рекомендации</w:t>
        </w:r>
      </w:hyperlink>
      <w:r>
        <w:t xml:space="preserve">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2024 году в городе Липецке полностью внедрен Муниципальный инвестиционный стандарт по десяти ключевым элементам: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 официальном сайте администрации города Липецка в информационно-телекоммуникационной сети "Интернет" сформирован раздел "Инвестиции";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разработан инвестиционный профиль городского округа город Липецк (Инвестиционный паспорт города). Инвестиционный паспорт включает общую характеристику города Липецка, его историческую справку, социально-экономические показатели, приоритетные отрасли экономики города Липецка, информацию о туристическом потенциале, а также контактную информацию, о должностных лицах местного самоуправления, ответственных за достижение целей и задач инвестиционного развития города. Инвестиционный паспорт актуализируется ежегодно;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назначен инвестиционный уполномоченный (бизнес-куратор) для содействия инвесторам в реализации инвестиционных проектов на территории города Липецка во взаимодействии с исполнительными органами государственной власти Липецкой области;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действует координационный Совет по улучшению инвестиционного климата в городе Липецке, основной функцией которого является рассмотрение вопросов содействия реализации инвестиционных проектов, сопровождаемых на уровне муниципального образования;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определены цели и задачи инвестиционного развития города Липецка до 2035 года. Для достижения поставленных задач определены флагманские проекты с указанием объема инвестиций и сроков их реализации;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разработан Регламент сопровождения инвестиционных проектов на территории муниципального образования город Липецк. Регламент основан на принципе "одного окна" и устанавливает сроки и последовательность действий отраслевых (функциональных) органов администрации города Липецка по оказанию информационно-консультационного и </w:t>
      </w:r>
      <w:r>
        <w:lastRenderedPageBreak/>
        <w:t>организационного содействия субъектам инвестиционной деятельности, реализующим и (или) планирующим реализацию инвестиционных проектов на территории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определены ключевые показатели эффективности инвестиционной деятельности;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 качестве механизма обратной связи между инвесторами и инвестиционным уполномоченным и (или) сотрудниками департамента экономического развития, основными обязанностями которых являются оказание содействия в реализации инвестиционных проектов на территории города, определена платформа сайта Центра "Мой бизнес" Липецкой области в разделе "Бизнес-куратор";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ивестиционный уполномоченный на регулярной основе проходит профессиональную переподготовку и повышение квалификации в части содействия в реализации инвестиционных проектов. Вопрос обучения команды сотрудников обсуждается на уровне Министерства экономического развития Российской Федерации путем подготовки программы для обучения местных команд в региональных филиалах РАНХиГС;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заключено Соглашение о Сотрудничестве между администрацией города Липецка и Агентством инвестиционного развития Липецкой области, уполномоченным на реализацию системы поддержки новых инвестиционных проектов в рамках "Регионального инвестиционного стандарта".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Основная задача города при реализации инвестиционного стандарта - ускорить запуск новых инвестиционных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Целями развития инвестиционной привлекательности города являются: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обеспечение развития инновационно-технологической инфраструктуры и конкурентоспособного производства в городе;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обеспечение в городе высокого уровня инвестиционной привлекательности.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качестве основы инвестиционной политики, позволяющей обеспечить долгосрочные взаимовыгодные отношения с инвесторами, город Липецк рассматривает следующие ценности: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повышение благосостояния и качества жизни населения;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следование принципам ответственного инвестирования с точки зрения соответствия принципам ЭКГ (экология, корпоративное управление и экономическая устойчивость, государственное управление и социальная сфера);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инновационной и конкурентоспособной экономики в городе.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Главные цели инвестиционного развития города Липецка: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улучшение инвестиционного климата путем установления понятных и прозрачных условий ведения инвестиционной деятельности на территории города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повышение динамики развития экономики города Липецка, повышение конкурентоспособности местных товаропроизводителей на внутреннем и внешнем рынках. Насыщение внутреннего рынка импортозамещающей продукцией.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Инвестиционная политика города Липецка направлена на создание благоприятного инвестиционного климата, на стимулирование привлечения частного капитала, а также на улучшение социально-экономического положения города и строится на принципах: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- защиты инвестиций: все участники инвестиционного процесса защищены на </w:t>
      </w:r>
      <w:r>
        <w:lastRenderedPageBreak/>
        <w:t>законодательном уровне;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свободы выбора объекта инвестиций;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приоритетности: позволяет инвестору выбирать стратегическую направленность инвестиций;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максимизации эффективности: предполагает выбор самых эффективных мер по улучшению от эффекта инвестиционной деятельности;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принцип контроля: для регулярного анализа и контроля инвестиционной политики.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Приоритетные направления для привлечения инвестиций в город Липецк основаны на существующих конкурентных преимуществах отраслевой экономики города, а также на целевой установке по модернизации традиционных отраслей промышленности и развития новых видов экономической деятельности: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машиностроение, сельхозмашиностроение;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металлообработка;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производство строительной техники и строительных материалов;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пищевая и перерабатывающая промышленность;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логистическая инфраструктура.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Важным приоритетным направлением является развитие отраслей промышленности, осуществление деятельности которых способствует: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созданию новых экономически эффективных производств;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развитию промышленного производства в направлении диверсификации номенклатуры и увеличению выпуска высокотехнологичной продукции;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обеспечению технологического суверенитета;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созданию импортозамещающих производств и локализации производственных цепочек;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отраслевой структуре промышленности планируется переориентация в пользу современных производств, создающих продукцию с высокой добавленной стоимостью, увеличение производства современной инновационной продукции.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Для отраслей, ориентированных на создание новых видов инновационной продукции, приоритетным направлением является создание полноценной инфраструктуры, формирование эффективной системы поддержки спроса на продукцию новых отраслей. Политика стимулирования спроса предусматривает развитие внутреннего и внешнего спроса на отечественную продукцию, в том числе путем субсидирования расходов потребителей на закупку отдельных видов продукции, с целью создания условий для производства, сбыта продукции и обеспечения загрузки производственных мощностей.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Следующим приоритетным направлением является поддержание положительной динамики инвестиций в основной капитал промышленных предприятий. За счет инвестирования в основные фонды промышленности предусматривается обеспечение существенного роста </w:t>
      </w:r>
      <w:r>
        <w:lastRenderedPageBreak/>
        <w:t>производительности труда. Создание новых производств повлечет за собой увеличение количества высокопроизводительных рабочих мест.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Перспективным механизмом обеспечения реализации приоритетных проектов развития города Липецка является государственно-частное партнерство (ГЧП) как совокупность форм средне- и долгосрочного взаимовыгодного сотрудничества между городом и хозяйствующими субъектами.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Муниципальное бюджетное учреждение "Технопарк-Липецк", созданное в 2012 году, развивает следующие приоритетные отрасли инновационного предпринимательства: IT-технологии, инновационные технологии и материалы в металлургии, точное машиностроение в металлообработке, производство металлических и металлокомпозитных покрытий, инновационные разработки в транспортном машиностроении, альтернативная энергетика, энергосберегающие и энергоэффективные технологии, нанотехнологии и материалы, инновации в медицине. В 2021 году на базе МБУ "Технопарк-Липецк" совместно с Фондом инфраструктурных и образовательных программ Роснано создан Региональный центр нормативно-технической поддержки инноваций, который дополнит существующую в Липецкой области инфраструктуру и обеспечит полный жизненный цикл создания и коммерциализации инноваций. Планируется, что именно здесь будут размещаться R&amp;D-подразделения компаний, а сами инновационные продукты переходить на стадию производства в индустриальных парках, особой экономической зоне "Липецк", технологических компаниях.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целях формирования и реализации на территории Липецкой области комплексного подхода к продвижению на рынок качественной, безопасной инновационной продукции нанотехнологического и связанных с ним высокотехнологичных секторов экономики в 2021 году создан региональный центр нормативно-технической поддержки инноваций в структуре МБУ "Технопарк-Липецк".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Одной из ключевых задач МБУ "Технопарк-Липецк" является повышение инновационного потенциала города Липецка - выступая как инкубатор МБУ "Технопарк-Липецк" стимулирует развитие малых и средних инновационных предприятий города Липецка, наукоемких технологий и продвижение их на российский рынок.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Цель: повышение инвестиционной привлекательности, создание благоприятного инвестиционного климата, привлечение инвестиций в экономику города, развитие и внедрение инновационных технологий.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Развитие механизмов государственно-частного партнерства и распространение практики применения "Инфраструктурного меню" с целью реализации социально значимых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Работа с инвесторами в рамках инвестиционного стандарта Липецкой области 2.0.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Поддержание развития инновационных технологий и продуктов на базе МБУ "Технопарк-Липецк".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Популяризация деятельности в сфере интеллектуальной собственности.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13 -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134"/>
        <w:gridCol w:w="1134"/>
        <w:gridCol w:w="1134"/>
        <w:gridCol w:w="1247"/>
        <w:gridCol w:w="1247"/>
      </w:tblGrid>
      <w:tr w:rsidR="00BC7753">
        <w:tc>
          <w:tcPr>
            <w:tcW w:w="3175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 xml:space="preserve">Объем инвестиций в основной капитал по крупным и средним </w:t>
            </w:r>
            <w:r>
              <w:lastRenderedPageBreak/>
              <w:t>предприятиям и организациям, млн. руб.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66 633,5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55 600,5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73 674,5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92 028,0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109 316,2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66 633,5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55 600,5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76 174,5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98 784,1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121 483,5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66 633,5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55 600,5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85 552,6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106 054,3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150 142,1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Доля инновационных товаров и услуг в общем объеме отгруженных товаров, выполненных работ и услуг по крупным и средним предприятиям и организациям, %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134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247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Инерционный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0,93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1,21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Базовый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1,12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1,28</w:t>
            </w:r>
          </w:p>
        </w:tc>
      </w:tr>
      <w:tr w:rsidR="00BC7753">
        <w:tc>
          <w:tcPr>
            <w:tcW w:w="3175" w:type="dxa"/>
          </w:tcPr>
          <w:p w:rsidR="00BC7753" w:rsidRDefault="00BC7753">
            <w:pPr>
              <w:pStyle w:val="ConsPlusNormal"/>
            </w:pPr>
            <w:r>
              <w:t>Оптимистический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134" w:type="dxa"/>
          </w:tcPr>
          <w:p w:rsidR="00BC7753" w:rsidRDefault="00BC7753">
            <w:pPr>
              <w:pStyle w:val="ConsPlusNormal"/>
              <w:jc w:val="center"/>
            </w:pPr>
            <w:r>
              <w:t>0,98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1247" w:type="dxa"/>
          </w:tcPr>
          <w:p w:rsidR="00BC7753" w:rsidRDefault="00BC7753">
            <w:pPr>
              <w:pStyle w:val="ConsPlusNormal"/>
              <w:jc w:val="center"/>
            </w:pPr>
            <w:r>
              <w:t>1,31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14. Информационные технологии и деятельность в сфере</w:t>
      </w:r>
    </w:p>
    <w:p w:rsidR="00BC7753" w:rsidRDefault="00BC7753">
      <w:pPr>
        <w:pStyle w:val="ConsPlusTitle"/>
        <w:jc w:val="center"/>
      </w:pPr>
      <w:r>
        <w:t>телекоммуникации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Все без исключения сферы жизнедеятельности городского хозяйства в целом и администрации города Липецка в частности, а также процессы коммуникации муниципальной администрации с жителями города в ходе оказания государственных и муниципальных услуг претерпевают изменения под влиянием современных информационных технологий. Явление радикального преобразования процессов под влиянием ИТ-технологий принято называть цифровой трансформацией.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Цифровая трансформация города Липецка многие годы развивалась инициативным порядком в ответ на возникающие потребности и была оформлена как целенаправленная измеримая деятельность в 2019 году с инициативным вступлением города Липецка в пилотный проект "Умный город" в рамках национального </w:t>
      </w:r>
      <w:hyperlink r:id="rId77">
        <w:r>
          <w:rPr>
            <w:color w:val="0000FF"/>
          </w:rPr>
          <w:t>проекта</w:t>
        </w:r>
      </w:hyperlink>
      <w:r>
        <w:t xml:space="preserve"> "Жилье и городская среда" и национальной </w:t>
      </w:r>
      <w:hyperlink r:id="rId78">
        <w:r>
          <w:rPr>
            <w:color w:val="0000FF"/>
          </w:rPr>
          <w:t>программы</w:t>
        </w:r>
      </w:hyperlink>
      <w:r>
        <w:t xml:space="preserve"> "Цифровая экономика" под ведомством Минстроя РФ. Главной ее целью стало формирование эффективной системы управления городским хозяйством, а также создание безопасных и комфортных условий для жизни горожан.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 прошедшее время запущено и активно развивается оснащение "умными" датчиками, счетчиками, камерами базовых сфер жизнедеятельности города: многоквартирные жилые дома и дворы, дороги и перекрестки, культурные и общественные пространства. На основе этого ведется эффективный сбор, последующая обработка и анализ информации, в некоторых случаях в режиме реального времени. Это позволяет значительно сократить административные усилия необходимые на поддержание и рост качества жизни в городе, оптимально распределять и расходовать финансово-материальные ресурсы.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Так, на основе имеющихся сведений, содержащихся в картографических данных, и методом фотографирования с помощью беспилотных летательных аппаратов сформирован план 70% площади города. Около 6500 камер видеонаблюдения установлены на дорогах, во дворах жилых домов, в культурных пространствах для обеспечения общественной безопасности, контроля </w:t>
      </w:r>
      <w:r>
        <w:lastRenderedPageBreak/>
        <w:t>качества работы муниципальных и сопутствующих служб, обеспечения бесперебойной работы парковочных пространств, фотовидеофиксации нарушений правил дорожного движения. Во всех вновь вводимых в эксплуатацию многоквартирных жилых домах, а также МКД, проходящих капитальный ремонт, устанавливаются автоматические счетчики ресурсов и тепловые узлы с погодозависимым регулированием теплоснабжения, домофоны с возможностью быстро связаться с единой службой спасения 112. Вся специализированная техника, используемая для содержания и уборки проезжей части улиц города Липецка оборудована датчиками геопозиционирования и датчиками навесного оборудования для автоматического сбора информации.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сфере транспорта реализована функция оплаты проезда банковскими картами, благодаря чему увеличилась пропускная способность городской транспортной инфраструктуры. Внедрение "умных светофоров" не только сократило время на поездки по городу на 20 - 30%, но и снизило экологическую нагрузку на городскую среду. Активно развивается система управления городским освещением: оснащение автоматизированными системами учета электроэнергии, а также системами управления освещением повышает ее энергоэффективность и не влияет на комфорт горожан.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Использование отраслевых приложений программного обеспечения и мобильных устройств в работе администрации города Липецка обеспечило возможность формирования обширной базы данных о жизни города, что позволяет постоянно повышает эффективность управления городским хозяйством и принимать эффективные управленческие решения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Так, в системе ГИС ЖКХ формируется база данных по жилищному фонду с детальными паспортами жилых домов, информацией по общедомовым приборам учета, ресурсоснабжающими и обслуживающими организациями, придомовым оборудованием, зелеными насаждениями и т.д. Готовится к внедрению региональная платформа ИАС ЖКХ, расширяющая базу данных информацией о дворовых территориях, территориальных общественных организациях самоуправления, аварийно-восстановительных бригадах, сотрудниках организаций ЖКХ и т.д.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Посредством использования функционала Единой информационной системы жилищного строительства вносится информация о вновь возводимых жилых домах с указанием основных технико-экономических показателей здания, а также о сроках их планируемого ввода в эксплуатацию. Данные сведения позволяют потенциальным приобретателям жилых помещений принимать объективное решение об их покупке и осуществлять мониторинг процесса строительства.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Реестр, а также карты и сервисы мониторинга вывоза ТБО и уборки контейнерных площадок обеспечивают ежедневный контроль за качеством уборки городской территории, поддержание благоприятной санитарно-эпидемиологической обстановки и предотвращают социальную напряженность, связанную с качеством содержания придомовых территорий жилых домов.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сфере общего образования улучшена организация процесса школьного питания. Обеспечен переход на безналичную оплату питания в школах (76% платежей проходят онлайн безналичными способами) и реализован контроль за движением денежных средств. Кроме того, реализована система мониторинга качества школьного питания, позволяющая учащимся по QR-коду оставлять отзывы, с возможностью приложить фотографию.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Важнейшей сферой цифровизации является развитие телекоммуникаций и всех услуг и сервисов на их основе. Это позволяет не только развивать качество оказания государственных и муниципальных услуг (в том числе массовых социально значимых), но и справляться с резкими изменениями социальной организации ввиду непредвиденных природных, техногенных и антропогенных факторов.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В рамках национальной программы "Цифровая экономика Российской Федерации" реализованы мероприятия по обеспечению услугами связи всех без исключения социально значимых объектов города Липецка, а доступность широкополосного подключения к сети Интернет постоянно повышается. Еще в 2018 году около 60% населения города использовало Интернет, менее 15% - заказывало товары и услуги онлайн и немногим меньше 10% получало государственные услуги в электронном виде. В настоящее время уже 8 из 10 жителей города активно используют Интернет в повседневной жизни, каждый третий заказывает товары в онлайн-магазинах и на электронных торговых площадках, а каждый второй пользуется цифровыми сервисами для получения государственных услуг.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Мощная региональная платформа Единой диспетчерской службы обеспечивает эффективный сбор информации от жителей города, их информирование и маршрутизацию заявок для отработки в ответственные организации по 16 направлениям жизнедеятельности города: ЖКХ, благоустройство, здравоохранение, медицинское страхование, социальная поддержка населения и другие.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Платформа обратной связи на сайте Госуслуг, региональный сайт "Развиваем Липецкую область вместе!" также обеспечивают сбор жалоб и предложений от жителей города в письменном виде. В совокупности с платформой ЕДС эти системы представляют собой мощный и эффективный инструмент коммуникации, мониторинга и информирования жителей, обеспечивающий информационную связность жизни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ведомственный проект Минстроя РФ "Умный город" из пилотного инициативного стал общероссийским и обязательным, а количество сфер измеряемых показателей расширилось до 18 и включает в себя следующие: обратная связь с гражданами, городская среда, жилищно-коммунальное хозяйство, строительство, энергетика, безопасность, геоинформационные технологии, здравоохранение, культура, молодежная политика, наука и высшая школа, образование, предпринимательство, социальная сфера, спорт, транспорт, цифровая трансформация, экология.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Цифровая трансформация города Липецка продолжается в рамках проекта "Умный город" и получает комплексную оценку текущего состояния в виде интегрального индекса "IQ-городов" и относительного места в сравнении с другими крупными (250 тыс. - 1 млн. человек) городами РФ. Так в 2020 году город Липецк достиг интегрального индекса IQ-городов 43,35 и относительно других крупных городов занял 34 (из 64) место. В 2021 году индекс составил 61,33, а относительная позиция в списке крупных городов 19 (из 63).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Формирование эффективной системы управления городским хозяйством, создание безопасных и комфортных условий для жизни горожан.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Разработка и внедрение систем для формирования баз данных необходимых для эффективного управления городским хозяйством и поддержки реализации проектов реформации этого управления в сфере ЖКХ, дворовых территорий, дорожного хозяйства и т.д.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Значительные дополнительные инвестиции на развитие сферы информационной безопасности в соответствии с актуальными и вновь открывающимися угрозами внешнеполитического происхождения.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Предотвращение утечек чувствительных данных, эффективное отражение атак и недопущение потерь.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Дальнейшее развитие цифровизации всех сфер жизнедеятельности города связанное со значительными инвестициями в новые информационные системы.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5. Вовлечение жителей города в использование современных электронных способов получения государственных и муниципальных услуг, а также услуг, коммуникаций и юридически значимых голосований с управляющими компаниями, ресурсоснабжающими организациями и пр.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14 -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Доля заявок на массовые социально-значимые услуги полученных в электронном виде, % &lt;*&gt;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--------------------------------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&lt;*&gt; Услуги признаются массовыми социально значимыми на основании </w:t>
      </w:r>
      <w:hyperlink r:id="rId79">
        <w:r>
          <w:rPr>
            <w:color w:val="0000FF"/>
          </w:rPr>
          <w:t>Приложения 1</w:t>
        </w:r>
      </w:hyperlink>
      <w:r>
        <w:t xml:space="preserve"> приказа Минцифры от 18 ноября 2020 года N 600, а также на основании локальных документов.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2"/>
      </w:pPr>
      <w:r>
        <w:t>15. Гражданское общество и клиентоцентричность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Текущая ситуация.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России на федеральном уровне действует проект "Государство для людей", который ранее лаконично назывался "Клиентоцентричность". В рамках него разработаны правила и стандарты, на основе которых должна строиться коммуникация государства с населением и бизнесом, чтобы общение людей и власти стало более простым и доступным.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t>Рисунок 8 - В фокусе внимания клиентоцентричного государства</w:t>
      </w:r>
    </w:p>
    <w:p w:rsidR="00BC7753" w:rsidRDefault="00BC7753">
      <w:pPr>
        <w:pStyle w:val="ConsPlusNormal"/>
        <w:jc w:val="center"/>
      </w:pPr>
      <w:r>
        <w:t>находится человек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center"/>
      </w:pPr>
      <w:r>
        <w:rPr>
          <w:noProof/>
          <w:position w:val="-328"/>
        </w:rPr>
        <w:lastRenderedPageBreak/>
        <w:drawing>
          <wp:inline distT="0" distB="0" distL="0" distR="0">
            <wp:extent cx="4380865" cy="430657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Липецкая область приняла участие в пилотном проекте Минэкономразвития по внедрению принципов клиентоцентричности. Он был запущен в декабре 2022 года. В проекте приняли участие Минэкономразвития, Минфин, Минцифры, Минтруд, ФНС, Росимущество, Аналитический центр при Правительстве России. В пилот включились Липецкая, Московская, Тульская, Нижегородская и Самарская области.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итогам эксперимента по внедрению принципов клиентоцентричности правительство Липецкой области получило высокую оценку ВНИИ труда Минтруда России. Администрация города Липецка также реализует в городе принципы клиентоцентричного государства.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Приоритетным направлением деятельности администрации города Липецка является развитие эффективной "обратной связи" между жителями города и властью, которое носит комплексный характер.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Администрация города Липецка осуществляет координацию, информационно-методическое и организационное обеспечение деятельности органов территориального общественного самоуправления (далее - ТОС).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 состоянию на 01.01.2023 на территории города Липецка осуществляют деятельность 36 Советов общественного самоуправления, 123 председателя уличных комитетов, 294 ТОС.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Органы ТОС принимают участие во всех значимых проектах, реализующихся на территории города Липецка: День города, новогодние праздники, День государственного флага РФ, День матери и другие. За текущий период 2022 года было организованно 1288 мероприятий, участие в которых приняли более 200 тыс.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 2022 году увеличилось количество мероприятий патриотической направленности, проводимых на территории города Липецка. Количество жителей, вовлеченных в мероприятия, составило более 150 тыс. человек.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Администрацией города Липецка организован и проведен конкурс по предоставлению субсидии социально ориентированным некоммерческим организациям на реализацию социально значимых проектов (мероприятий). В 2022 году в конкурсе приняли участие 25 заявок, поддержано конкурсной комиссией 20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Советы общественного самоуправления (далее - СОС) создаются в целях обеспечения участия жителей города в решении вопросов местного значения.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СОС призваны обеспечить согласование интересов жителей определенной территории города Липецка, предприятий и организаций, органов ТОС при принятии решений по вопросам местного значения путем: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обсуждения и анализа проблем социально-экономического развития территории города Липецка, на которой осуществляет свою деятельность СОС;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рассмотрения предложений граждан и организаций в области социально-экономического развития территории, вопросов благоустройства, направленных на повышение комфортности проживания граждан;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выработки и направления на рассмотрение координационного Совета по развитию общественного самоуправления предложений по решению вопросов местного значения территории;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привлечения граждан, предприятий и организаций к решению вопросов местного значения на территории соответствующего СОС;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поддержки и выдвижения общественных инициатив, имеющих социальное значение на территории деятельности соответствующего СОС;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организации работы по изучению общественного мнения по вопросам жизнедеятельности города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содействия созданию и развитию территориального общественного самоуправления (ТОС);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изучения, обобщения, распространения положительного опыта работы органов ТОС, товариществ собственников жилья, управляющих компаний;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организации мероприятий по благоустройству и озеленению, проведения субботников по санитарной очистке территории;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участия в рассмотрении жалоб, обращений и предложений граждан;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информирования населения, проживающего на территории соответствующего СОС, о наиболее важных событиях общественной жизни, принятых муниципальных правовых актах города Липецка, затрагивающих интересы населения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проведения спортивных мероприятий, праздников улиц, других культурно-массовых мероприятий на территории соответствующего СОС.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Цель: Повышение уровня доверия граждан к государству, включенность граждан в процессы социально-экономических преобразований города.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Задачи: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1. Развитие гражданского общества, сохранение межнационального и межконфессионального мира и согласия;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2. Создание благоприятных условий для развития гражданского общества, в т.ч. некоммерческих организаций, органов территориального общественного самоуправления;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Повышение эффективности и привлекательности муниципальной службы;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Обеспечение долгосрочной сбалансированности и устойчивости бюджетной системы, повышение качества управления муниципальными финансами;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Формирование культуры ответственного проживания.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Таблица 15 - Ключевые индикаторы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850"/>
        <w:gridCol w:w="850"/>
        <w:gridCol w:w="850"/>
        <w:gridCol w:w="850"/>
        <w:gridCol w:w="850"/>
      </w:tblGrid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jc w:val="center"/>
            </w:pPr>
            <w:r>
              <w:t>Индикатор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2035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Количество органов территориального общественного самоуправления, ед.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354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419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</w:pPr>
            <w:r>
              <w:t>Удовлетворенность населения деятельностью органов местного самоуправления городского округа, %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Инерционный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42,1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50,2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Базовый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45,3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58,7</w:t>
            </w:r>
          </w:p>
        </w:tc>
      </w:tr>
      <w:tr w:rsidR="00BC7753">
        <w:tc>
          <w:tcPr>
            <w:tcW w:w="4819" w:type="dxa"/>
          </w:tcPr>
          <w:p w:rsidR="00BC7753" w:rsidRDefault="00BC7753">
            <w:pPr>
              <w:pStyle w:val="ConsPlusNormal"/>
              <w:ind w:left="283"/>
            </w:pPr>
            <w:r>
              <w:t>Оптимистический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39,9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  <w:jc w:val="center"/>
            </w:pPr>
            <w:r>
              <w:t>62,4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Флагманские проекты</w:t>
      </w:r>
    </w:p>
    <w:p w:rsidR="00BC7753" w:rsidRDefault="00BC7753">
      <w:pPr>
        <w:pStyle w:val="ConsPlusNormal"/>
        <w:jc w:val="center"/>
      </w:pPr>
    </w:p>
    <w:p w:rsidR="00BC7753" w:rsidRDefault="00BC7753">
      <w:pPr>
        <w:pStyle w:val="ConsPlusNormal"/>
        <w:jc w:val="center"/>
      </w:pPr>
      <w:r>
        <w:t xml:space="preserve">(в ред. </w:t>
      </w:r>
      <w:hyperlink r:id="rId8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</w:t>
      </w:r>
    </w:p>
    <w:p w:rsidR="00BC7753" w:rsidRDefault="00BC7753">
      <w:pPr>
        <w:pStyle w:val="ConsPlusNormal"/>
        <w:jc w:val="center"/>
      </w:pPr>
      <w:r>
        <w:t>от 26.12.2024 N 871)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Для достижения поставленных задач в рамках Стратегии выполнена оценка финансовых ресурсов, которые возникают из-за необходимости финансового обеспечения работ по флагманским проектам.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Ниже приведены флагманские проекты с указанием объема инвестиций в рамках трех основных сценариев, а также сроки их реализации.</w:t>
      </w:r>
    </w:p>
    <w:p w:rsidR="00BC7753" w:rsidRDefault="00BC77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417"/>
        <w:gridCol w:w="1417"/>
        <w:gridCol w:w="1417"/>
        <w:gridCol w:w="850"/>
      </w:tblGrid>
      <w:tr w:rsidR="00BC7753">
        <w:tc>
          <w:tcPr>
            <w:tcW w:w="567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402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Флагманский проект</w:t>
            </w:r>
          </w:p>
        </w:tc>
        <w:tc>
          <w:tcPr>
            <w:tcW w:w="4251" w:type="dxa"/>
            <w:gridSpan w:val="3"/>
          </w:tcPr>
          <w:p w:rsidR="00BC7753" w:rsidRDefault="00BC7753">
            <w:pPr>
              <w:pStyle w:val="ConsPlusNormal"/>
              <w:jc w:val="center"/>
            </w:pPr>
            <w:r>
              <w:t>Общие инвестиции, млн. руб.</w:t>
            </w:r>
          </w:p>
        </w:tc>
        <w:tc>
          <w:tcPr>
            <w:tcW w:w="850" w:type="dxa"/>
            <w:vMerge w:val="restart"/>
          </w:tcPr>
          <w:p w:rsidR="00BC7753" w:rsidRDefault="00BC7753">
            <w:pPr>
              <w:pStyle w:val="ConsPlusNormal"/>
              <w:jc w:val="center"/>
            </w:pPr>
            <w:r>
              <w:t>Сроки (годы)</w:t>
            </w:r>
          </w:p>
        </w:tc>
      </w:tr>
      <w:tr w:rsidR="00BC7753">
        <w:tc>
          <w:tcPr>
            <w:tcW w:w="567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3402" w:type="dxa"/>
            <w:vMerge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инерционный сценарий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базовый сценарий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оптимистический сценарий</w:t>
            </w:r>
          </w:p>
        </w:tc>
        <w:tc>
          <w:tcPr>
            <w:tcW w:w="850" w:type="dxa"/>
            <w:vMerge/>
          </w:tcPr>
          <w:p w:rsidR="00BC7753" w:rsidRDefault="00BC7753">
            <w:pPr>
              <w:pStyle w:val="ConsPlusNormal"/>
            </w:pP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Модернизация ВиВ и очистных сооружений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18 154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19 735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2022 - 2071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 xml:space="preserve">Модернизация системы </w:t>
            </w:r>
            <w:r>
              <w:lastRenderedPageBreak/>
              <w:t>теплоснабжения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lastRenderedPageBreak/>
              <w:t>1 003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1 113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5 587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 xml:space="preserve">2023 - </w:t>
            </w:r>
            <w:r>
              <w:lastRenderedPageBreak/>
              <w:t>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Модернизация электротранспортной инфраструктуры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13 835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21 469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2022 - 2042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Реконструкция мостов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5 428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5 428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27 629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Строительство и реконструкция объектов спорта (в т.ч. образовательный кампус, ледовые арены, гребной канал, интернат и т.д.)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1 576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10 876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Строительство кладбищ и крематория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Проект "Липовка-Воронеж"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3 000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14 700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КРТ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16 585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39 608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54 618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2023 - 2035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IT-проекты, цифровизация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2025 - 2035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Создание промышленных студенческих лабораторий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2024 - 2030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Создание индустриального парка на базе промышленной площадки "Свободный Сокол"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2024 - 2025</w:t>
            </w:r>
          </w:p>
        </w:tc>
      </w:tr>
      <w:tr w:rsidR="00BC7753">
        <w:tc>
          <w:tcPr>
            <w:tcW w:w="567" w:type="dxa"/>
          </w:tcPr>
          <w:p w:rsidR="00BC7753" w:rsidRDefault="00BC77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BC7753" w:rsidRDefault="00BC7753">
            <w:pPr>
              <w:pStyle w:val="ConsPlusNormal"/>
            </w:pPr>
            <w:r>
              <w:t>Возрождение Липецкого тракторного завода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</w:pP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39 182</w:t>
            </w:r>
          </w:p>
        </w:tc>
        <w:tc>
          <w:tcPr>
            <w:tcW w:w="1417" w:type="dxa"/>
          </w:tcPr>
          <w:p w:rsidR="00BC7753" w:rsidRDefault="00BC7753">
            <w:pPr>
              <w:pStyle w:val="ConsPlusNormal"/>
              <w:jc w:val="center"/>
            </w:pPr>
            <w:r>
              <w:t>39 182</w:t>
            </w:r>
          </w:p>
        </w:tc>
        <w:tc>
          <w:tcPr>
            <w:tcW w:w="850" w:type="dxa"/>
          </w:tcPr>
          <w:p w:rsidR="00BC7753" w:rsidRDefault="00BC7753">
            <w:pPr>
              <w:pStyle w:val="ConsPlusNormal"/>
            </w:pPr>
            <w:r>
              <w:t>2024 - 2033</w:t>
            </w:r>
          </w:p>
        </w:tc>
      </w:tr>
    </w:tbl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27 декабря 2023 года президиумом Правительственной комиссии по региональному развитию в Российской Федерации утвержден "Долгосрочный план социально-экономического развития Липецко-Елецкой агломерации до 2030 года", который определяет ключевые проекты по развитию Липецкого ядра агломерации: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3-го участка ОЭЗ "Липецк" (в целях возрождения Липецкого тракторного завода);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создание промышленной студенческой лаборатории на базе МБУ "Технопарк-Липецк";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 сетей водоснабжения для обеспечения территории комплексного развития - жилого района "ЛТЗ" г.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 сетей водоотведения для обеспечения территории комплексного развития - жилого района "ЛТЗ" г. Липецка;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строительство и реконструкция городских очистных сооружений МУП "Липецкая станция аэрации";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 2-го мостового перехода в г. Липецке;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lastRenderedPageBreak/>
        <w:t>- строительство путепроводного перехода через железнодорожные пути в Правобережном районе г. Липецка для соединения проезда Боевой и ул. Совхозная с ул. Гагарина;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комплексное развитие городского наземного электрического транспорта г. Липецка (федеральный проект "Развитие общественного транспорта" Национального проекта "Безопасные качественные дороги");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реконструкция, техническое перевооружение и модернизация объектов, оказывающих негативное воздействие на окружающую среду, с применением технологий по снижению выбросов приоритетных загрязняющих веществ для улучшения качества атмосферного воздуха в г. Липецке.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Реализация вышеуказанных и иных проектов как на территории города Липецка, так и в иных муниципальных образованиях, входящих в Липецко-Елецкую агломерацию, позволит нивелировать ограничения, выявленные при проведении анализа текущей социально-экономической ситуации, и даст дальнейший импульс для развития города Липецка.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Механизм реализации стратегии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Механизм реализации Стратегии является одним из важнейших элементов стратегического управления, так как без него цели, задачи и направления деятельности, как бы хорошо и правильно они ни были поставлены в Стратегии, так и останутся просто формальностью.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Стратегия определяет лишь основные ориентиры развития и общие пути их достижения. Основная задача Стратегии - донести идею и содержание плана до всех участников социально-экономического развития территории города (как внутренних, так и внешних). Механизмы стратегического управления должны реализовываться на пересечении интересов различных общественных групп. Без участия широких кругов общественности и бизнеса Стратегия может остаться просто документом. Поэтому контроль увязки Стратегии с реальностью - основная функция 15 рабочих групп, в которые входят представители населения, бизнеса, науки и власти.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Разработка Стратегии является первым этапом реализации процесса планирования, когда ради общих целей повышения качества жизни населения и развития конкурентоспособности города воедино сводятся разнонаправленные интересы.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Основу реализации Стратегии составляют следующие стратегические проекты: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сохранение и развитие человеческого капитала;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Липецк - экономически развитый региональный центр с диверсифицированной экономикой;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развитие и модернизация жилищно-коммунального комплекса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формирование сбалансированной транспортной системы города;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формирование комфортной, экологически благополучной городской среды;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развитие гражданского общества и местного самоуправления;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Липецк - город, удобный для проживания.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Указанные проекты выполняются посредством мероприятий муниципальных программ, а также деятельности предприятий, организаций и общественных объединений города. Достаточно дробное деление проектов позволяет повысить их управляемость и, в целом, реализуемость Стратегии. Для этих же целей выработаны единые методические подходы к разработке </w:t>
      </w:r>
      <w:r>
        <w:lastRenderedPageBreak/>
        <w:t>стратегических проектов.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Подобно тому, как разработка (актуализация) Стратегии начинается с анализа имеющихся тенденций, так и его реализация с первых же шагов сопровождается аналитической работой. Мониторинг Стратегии базируется на перечне основных показателей, необходимых для каждого направления, представляющих собой прогнозные параметры до 2035 года, с разбивкой на пятилетия. Сравнение достигнутых результатов в отчетные периоды с прогнозами на пятилетний период позволяет оценить правильность выбранных в Стратегии направлений деятельности и способов достижения целевых ориентиров.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Title"/>
        <w:jc w:val="center"/>
        <w:outlineLvl w:val="1"/>
      </w:pPr>
      <w:r>
        <w:t>Мониторинг реализации стратегии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1. Мониторинг реализации Стратегии осуществляется на основе анализа исполнения плана мероприятий реализации Стратегии (далее - план мероприятий) и достижения значений показателей социально-экономического развития, предусмотренных Стратегией (далее - показатели Стратегии).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2. План мероприятий разрабатывается на срок, соответствующий этапам реализации Стратегии, и содержит перечень мероприятий с указанием сроков их исполнения и ответственных исполнителей.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3. План мероприятий разрабатывается в срок до 31 января первого года этапа реализации Стратегии департаментом экономического развития администрации города Липецка (далее - департамент экономического развития) совместно со структурными подразделениями администрации города Липецка, являющимися исполнителями Стратегии (далее - ответственные исполнители).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4. План мероприятий утверждается распоряжением администрации города Липецка.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5. Ответственные исполнители в срок до 15 апреля года, следующего за отчетным, направляют в департамент экономического развития отчет о выполнении плана мероприятий и достижении плановых показателей Стратегии, а также, при необходимости, предложения о корректировке показателей Стратегии на плановый период.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6. Департамент экономического развития до 1 июня года, следующего за отчетным, на основании отчетов ответственных исполнителей о выполнении плана мероприятий подготавливает отчет об оценке эффективности реализации Стратегии на основе оценки достижения показателей Стратегии и исполнения плана мероприятий.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7. Оценка достижения показателей Стратегии в j-м году ее реализации (Пj) определяется по формуле: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089660" cy="20955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где: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СУММ</w:t>
      </w:r>
      <w:r>
        <w:rPr>
          <w:i/>
          <w:vertAlign w:val="subscript"/>
        </w:rPr>
        <w:t>j</w:t>
      </w:r>
      <w:r>
        <w:t xml:space="preserve"> - число показателей, достигших прогнозного значения в j-м году реализации Стратегии. Допускается значение показателя не ниже 90 процентов прогнозного значения. Значение показателя уточняется по мере поступления официальной статистической информации;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</w:t>
      </w:r>
      <w:r>
        <w:rPr>
          <w:i/>
          <w:vertAlign w:val="subscript"/>
        </w:rPr>
        <w:t>j</w:t>
      </w:r>
      <w:r>
        <w:t xml:space="preserve"> - количество показателей социально-экономического развития, достижение которых предусмотрено в j-м году реализации Стратегии.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8. Оценка исполнения плана мероприятий в j-м году реализации Стратегии (ПЛj) определяется по формуле: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1257300" cy="20955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ind w:firstLine="540"/>
        <w:jc w:val="both"/>
      </w:pPr>
      <w:r>
        <w:t>где: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ВЫП</w:t>
      </w:r>
      <w:r>
        <w:rPr>
          <w:i/>
          <w:vertAlign w:val="subscript"/>
        </w:rPr>
        <w:t>j</w:t>
      </w:r>
      <w:r>
        <w:t xml:space="preserve"> - количество исполненных пунктов плана мероприятий в j-м году реализации Стратегии;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КПЛ</w:t>
      </w:r>
      <w:r>
        <w:rPr>
          <w:i/>
          <w:vertAlign w:val="subscript"/>
        </w:rPr>
        <w:t>j</w:t>
      </w:r>
      <w:r>
        <w:t xml:space="preserve"> - количество пунктов плана мероприятий, подлежащих исполнению в j-м году реализации Стратегии.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 Оценка эффективности реализации Стратегии определяется в соответствии со следующими критериями: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9.1. эффективность реализации Стратегии оценивается как низкая, если оценка достижения показателей Стратегии в j-м году ее реализации или оценка исполнения плана мероприятий в j-м году реализации Стратегии меньше 0,66;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9.2. эффективность реализации Стратегии оценивается как средняя, если: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оценка достижения показателей Стратегии в j-м году ее реализации больше или равна 0,66 и меньше 1, а оценка исполнения плана мероприятий в j-м году реализации стратегии равна 1;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оценка достижения показателей Стратегии в j-м году ее реализации равна 1, а оценка исполнения плана мероприятий в j-м году реализации Стратегии больше или равна 0,66 и меньше 1;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- оценка достижения показателей Стратегии в j-м году ее реализации и оценка исполнения плана мероприятий в j-м году реализации Стратегии больше или равны 0,66 и меньше 1;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9.3. Эффективность реализации Стратегии оценивается как высокая, если оценка достижения показателей Стратегии в j-м году ее реализации и оценка исполнения плана мероприятий в j-м году реализации Стратегии равны 1.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>10. По результатам проведения мониторинга реализации Стратегии департамент экономического развития в срок до 15 июня года, следующего за отчетным, представляет на рассмотрение Главе города отчет об оценке эффективности реализации Стратегии, предложения по корректировке плана мероприятий и показателей Стратегии на плановый период.</w:t>
      </w:r>
    </w:p>
    <w:p w:rsidR="00BC7753" w:rsidRDefault="00BC7753">
      <w:pPr>
        <w:pStyle w:val="ConsPlusNormal"/>
        <w:spacing w:before="220"/>
        <w:ind w:firstLine="540"/>
        <w:jc w:val="both"/>
      </w:pPr>
      <w:r>
        <w:t xml:space="preserve">11. Отчет об оценке эффективности реализации Стратегии (и предложения по корректировке показателей на плановый период, в случае их наличия) направляется в Липецкий городской Совет депутатов для рассмотрения, после чего подлежит размещению на официальном сайте администрации города Липецка </w:t>
      </w:r>
      <w:hyperlink r:id="rId84">
        <w:r>
          <w:rPr>
            <w:color w:val="0000FF"/>
          </w:rPr>
          <w:t>www.lipetskcity.ru</w:t>
        </w:r>
      </w:hyperlink>
      <w:r>
        <w:t>.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right"/>
      </w:pPr>
      <w:r>
        <w:t>Глава города Липецка</w:t>
      </w:r>
    </w:p>
    <w:p w:rsidR="00BC7753" w:rsidRDefault="00BC7753">
      <w:pPr>
        <w:pStyle w:val="ConsPlusNormal"/>
        <w:jc w:val="right"/>
      </w:pPr>
      <w:r>
        <w:t>С.В.ИВАНОВ</w:t>
      </w: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jc w:val="both"/>
      </w:pPr>
    </w:p>
    <w:p w:rsidR="00BC7753" w:rsidRDefault="00BC77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5CF3" w:rsidRDefault="001F5CF3">
      <w:bookmarkStart w:id="1" w:name="_GoBack"/>
      <w:bookmarkEnd w:id="1"/>
    </w:p>
    <w:sectPr w:rsidR="001F5CF3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53"/>
    <w:rsid w:val="001F5CF3"/>
    <w:rsid w:val="00870616"/>
    <w:rsid w:val="00BC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203FA-1001-4DEC-82C4-DDD87761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7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C77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77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C77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77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C77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77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77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0785" TargetMode="External"/><Relationship Id="rId18" Type="http://schemas.openxmlformats.org/officeDocument/2006/relationships/hyperlink" Target="https://login.consultant.ru/link/?req=doc&amp;base=LAW&amp;n=475991" TargetMode="External"/><Relationship Id="rId26" Type="http://schemas.openxmlformats.org/officeDocument/2006/relationships/hyperlink" Target="https://login.consultant.ru/link/?req=doc&amp;base=LAW&amp;n=428211&amp;dst=100009" TargetMode="External"/><Relationship Id="rId39" Type="http://schemas.openxmlformats.org/officeDocument/2006/relationships/hyperlink" Target="https://login.consultant.ru/link/?req=doc&amp;base=LAW&amp;n=171835&amp;dst=100014" TargetMode="External"/><Relationship Id="rId21" Type="http://schemas.openxmlformats.org/officeDocument/2006/relationships/hyperlink" Target="https://login.consultant.ru/link/?req=doc&amp;base=LAW&amp;n=400057&amp;dst=100012" TargetMode="External"/><Relationship Id="rId34" Type="http://schemas.openxmlformats.org/officeDocument/2006/relationships/hyperlink" Target="https://login.consultant.ru/link/?req=doc&amp;base=LAW&amp;n=489969&amp;dst=100020" TargetMode="External"/><Relationship Id="rId42" Type="http://schemas.openxmlformats.org/officeDocument/2006/relationships/hyperlink" Target="https://login.consultant.ru/link/?req=doc&amp;base=LAW&amp;n=409150&amp;dst=100012" TargetMode="External"/><Relationship Id="rId47" Type="http://schemas.openxmlformats.org/officeDocument/2006/relationships/hyperlink" Target="https://login.consultant.ru/link/?req=doc&amp;base=RLAW220&amp;n=142019&amp;dst=100009" TargetMode="External"/><Relationship Id="rId50" Type="http://schemas.openxmlformats.org/officeDocument/2006/relationships/hyperlink" Target="https://login.consultant.ru/link/?req=doc&amp;base=RLAW220&amp;n=142019&amp;dst=100023" TargetMode="External"/><Relationship Id="rId55" Type="http://schemas.openxmlformats.org/officeDocument/2006/relationships/hyperlink" Target="https://login.consultant.ru/link/?req=doc&amp;base=LAW&amp;n=495007" TargetMode="External"/><Relationship Id="rId63" Type="http://schemas.openxmlformats.org/officeDocument/2006/relationships/hyperlink" Target="https://login.consultant.ru/link/?req=doc&amp;base=LAW&amp;n=394077" TargetMode="External"/><Relationship Id="rId68" Type="http://schemas.openxmlformats.org/officeDocument/2006/relationships/hyperlink" Target="https://login.consultant.ru/link/?req=doc&amp;base=LAW&amp;n=394077&amp;dst=100710" TargetMode="External"/><Relationship Id="rId76" Type="http://schemas.openxmlformats.org/officeDocument/2006/relationships/hyperlink" Target="https://login.consultant.ru/link/?req=doc&amp;base=LAW&amp;n=458881&amp;dst=100008" TargetMode="External"/><Relationship Id="rId84" Type="http://schemas.openxmlformats.org/officeDocument/2006/relationships/hyperlink" Target="www.lipetskcity.ru" TargetMode="External"/><Relationship Id="rId7" Type="http://schemas.openxmlformats.org/officeDocument/2006/relationships/hyperlink" Target="https://login.consultant.ru/link/?req=doc&amp;base=RLAW220&amp;n=132445&amp;dst=101418" TargetMode="External"/><Relationship Id="rId71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0&amp;n=132445" TargetMode="External"/><Relationship Id="rId29" Type="http://schemas.openxmlformats.org/officeDocument/2006/relationships/hyperlink" Target="https://login.consultant.ru/link/?req=doc&amp;base=LAW&amp;n=399657&amp;dst=100015" TargetMode="External"/><Relationship Id="rId11" Type="http://schemas.openxmlformats.org/officeDocument/2006/relationships/hyperlink" Target="https://login.consultant.ru/link/?req=doc&amp;base=LAW&amp;n=308069&amp;dst=100008" TargetMode="External"/><Relationship Id="rId24" Type="http://schemas.openxmlformats.org/officeDocument/2006/relationships/hyperlink" Target="https://login.consultant.ru/link/?req=doc&amp;base=LAW&amp;n=210967&amp;dst=100015" TargetMode="External"/><Relationship Id="rId32" Type="http://schemas.openxmlformats.org/officeDocument/2006/relationships/hyperlink" Target="https://login.consultant.ru/link/?req=doc&amp;base=LAW&amp;n=470973&amp;dst=100016" TargetMode="External"/><Relationship Id="rId37" Type="http://schemas.openxmlformats.org/officeDocument/2006/relationships/hyperlink" Target="https://login.consultant.ru/link/?req=doc&amp;base=LAW&amp;n=216363&amp;dst=100018" TargetMode="External"/><Relationship Id="rId40" Type="http://schemas.openxmlformats.org/officeDocument/2006/relationships/hyperlink" Target="https://login.consultant.ru/link/?req=doc&amp;base=LAW&amp;n=294825&amp;dst=100009" TargetMode="External"/><Relationship Id="rId45" Type="http://schemas.openxmlformats.org/officeDocument/2006/relationships/hyperlink" Target="https://login.consultant.ru/link/?req=doc&amp;base=LAW&amp;n=447320&amp;dst=100017" TargetMode="External"/><Relationship Id="rId53" Type="http://schemas.openxmlformats.org/officeDocument/2006/relationships/hyperlink" Target="https://login.consultant.ru/link/?req=doc&amp;base=RLAW220&amp;n=142299&amp;dst=106661" TargetMode="External"/><Relationship Id="rId58" Type="http://schemas.openxmlformats.org/officeDocument/2006/relationships/hyperlink" Target="https://login.consultant.ru/link/?req=doc&amp;base=LAW&amp;n=319431" TargetMode="External"/><Relationship Id="rId66" Type="http://schemas.openxmlformats.org/officeDocument/2006/relationships/hyperlink" Target="https://login.consultant.ru/link/?req=doc&amp;base=RLAW220&amp;n=126527&amp;dst=100008" TargetMode="External"/><Relationship Id="rId74" Type="http://schemas.openxmlformats.org/officeDocument/2006/relationships/hyperlink" Target="https://login.consultant.ru/link/?req=doc&amp;base=RLAW220&amp;n=142019&amp;dst=100466" TargetMode="External"/><Relationship Id="rId79" Type="http://schemas.openxmlformats.org/officeDocument/2006/relationships/hyperlink" Target="https://login.consultant.ru/link/?req=doc&amp;base=LAW&amp;n=474826&amp;dst=100014" TargetMode="External"/><Relationship Id="rId5" Type="http://schemas.openxmlformats.org/officeDocument/2006/relationships/hyperlink" Target="https://login.consultant.ru/link/?req=doc&amp;base=RLAW220&amp;n=134049&amp;dst=100005" TargetMode="External"/><Relationship Id="rId61" Type="http://schemas.openxmlformats.org/officeDocument/2006/relationships/hyperlink" Target="https://login.consultant.ru/link/?req=doc&amp;base=RLAW220&amp;n=142019&amp;dst=100259" TargetMode="External"/><Relationship Id="rId82" Type="http://schemas.openxmlformats.org/officeDocument/2006/relationships/image" Target="media/image9.wmf"/><Relationship Id="rId19" Type="http://schemas.openxmlformats.org/officeDocument/2006/relationships/hyperlink" Target="https://login.consultant.ru/link/?req=doc&amp;base=RLAW220&amp;n=142019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34049&amp;dst=100006" TargetMode="External"/><Relationship Id="rId14" Type="http://schemas.openxmlformats.org/officeDocument/2006/relationships/hyperlink" Target="https://login.consultant.ru/link/?req=doc&amp;base=LAW&amp;n=357927" TargetMode="External"/><Relationship Id="rId22" Type="http://schemas.openxmlformats.org/officeDocument/2006/relationships/hyperlink" Target="https://login.consultant.ru/link/?req=doc&amp;base=LAW&amp;n=389271&amp;dst=100013" TargetMode="External"/><Relationship Id="rId27" Type="http://schemas.openxmlformats.org/officeDocument/2006/relationships/hyperlink" Target="https://login.consultant.ru/link/?req=doc&amp;base=LAW&amp;n=343386&amp;dst=100017" TargetMode="External"/><Relationship Id="rId30" Type="http://schemas.openxmlformats.org/officeDocument/2006/relationships/hyperlink" Target="https://login.consultant.ru/link/?req=doc&amp;base=LAW&amp;n=324378&amp;dst=100013" TargetMode="External"/><Relationship Id="rId35" Type="http://schemas.openxmlformats.org/officeDocument/2006/relationships/hyperlink" Target="https://login.consultant.ru/link/?req=doc&amp;base=LAW&amp;n=294696&amp;dst=100010" TargetMode="External"/><Relationship Id="rId43" Type="http://schemas.openxmlformats.org/officeDocument/2006/relationships/hyperlink" Target="https://login.consultant.ru/link/?req=doc&amp;base=LAW&amp;n=488671&amp;dst=100008" TargetMode="External"/><Relationship Id="rId48" Type="http://schemas.openxmlformats.org/officeDocument/2006/relationships/image" Target="media/image1.png"/><Relationship Id="rId56" Type="http://schemas.openxmlformats.org/officeDocument/2006/relationships/hyperlink" Target="https://login.consultant.ru/link/?req=doc&amp;base=LAW&amp;n=357927" TargetMode="External"/><Relationship Id="rId64" Type="http://schemas.openxmlformats.org/officeDocument/2006/relationships/hyperlink" Target="https://login.consultant.ru/link/?req=doc&amp;base=LAW&amp;n=358026" TargetMode="External"/><Relationship Id="rId69" Type="http://schemas.openxmlformats.org/officeDocument/2006/relationships/hyperlink" Target="https://login.consultant.ru/link/?req=doc&amp;base=RLAW220&amp;n=142019&amp;dst=100260" TargetMode="External"/><Relationship Id="rId77" Type="http://schemas.openxmlformats.org/officeDocument/2006/relationships/hyperlink" Target="https://login.consultant.ru/link/?req=doc&amp;base=LAW&amp;n=319211" TargetMode="External"/><Relationship Id="rId8" Type="http://schemas.openxmlformats.org/officeDocument/2006/relationships/hyperlink" Target="https://login.consultant.ru/link/?req=doc&amp;base=RLAW220&amp;n=132445&amp;dst=101283" TargetMode="External"/><Relationship Id="rId51" Type="http://schemas.openxmlformats.org/officeDocument/2006/relationships/hyperlink" Target="https://login.consultant.ru/link/?req=doc&amp;base=RLAW220&amp;n=142019&amp;dst=100070" TargetMode="External"/><Relationship Id="rId72" Type="http://schemas.openxmlformats.org/officeDocument/2006/relationships/image" Target="media/image6.png"/><Relationship Id="rId80" Type="http://schemas.openxmlformats.org/officeDocument/2006/relationships/image" Target="media/image8.pn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0785" TargetMode="External"/><Relationship Id="rId17" Type="http://schemas.openxmlformats.org/officeDocument/2006/relationships/hyperlink" Target="https://login.consultant.ru/link/?req=doc&amp;base=RLAW220&amp;n=142111" TargetMode="External"/><Relationship Id="rId25" Type="http://schemas.openxmlformats.org/officeDocument/2006/relationships/hyperlink" Target="https://login.consultant.ru/link/?req=doc&amp;base=LAW&amp;n=467303&amp;dst=100018" TargetMode="External"/><Relationship Id="rId33" Type="http://schemas.openxmlformats.org/officeDocument/2006/relationships/hyperlink" Target="https://login.consultant.ru/link/?req=doc&amp;base=RLAW220&amp;n=142019&amp;dst=100008" TargetMode="External"/><Relationship Id="rId38" Type="http://schemas.openxmlformats.org/officeDocument/2006/relationships/hyperlink" Target="https://login.consultant.ru/link/?req=doc&amp;base=LAW&amp;n=443077&amp;dst=100014" TargetMode="External"/><Relationship Id="rId46" Type="http://schemas.openxmlformats.org/officeDocument/2006/relationships/hyperlink" Target="https://login.consultant.ru/link/?req=doc&amp;base=LAW&amp;n=494980" TargetMode="External"/><Relationship Id="rId59" Type="http://schemas.openxmlformats.org/officeDocument/2006/relationships/hyperlink" Target="https://login.consultant.ru/link/?req=doc&amp;base=LAW&amp;n=319211" TargetMode="External"/><Relationship Id="rId67" Type="http://schemas.openxmlformats.org/officeDocument/2006/relationships/hyperlink" Target="https://login.consultant.ru/link/?req=doc&amp;base=LAW&amp;n=394077&amp;dst=100725" TargetMode="External"/><Relationship Id="rId20" Type="http://schemas.openxmlformats.org/officeDocument/2006/relationships/hyperlink" Target="https://login.consultant.ru/link/?req=doc&amp;base=LAW&amp;n=398015" TargetMode="External"/><Relationship Id="rId41" Type="http://schemas.openxmlformats.org/officeDocument/2006/relationships/hyperlink" Target="https://login.consultant.ru/link/?req=doc&amp;base=LAW&amp;n=485891&amp;dst=100016" TargetMode="External"/><Relationship Id="rId54" Type="http://schemas.openxmlformats.org/officeDocument/2006/relationships/hyperlink" Target="https://login.consultant.ru/link/?req=doc&amp;base=RLAW220&amp;n=142019&amp;dst=100117" TargetMode="External"/><Relationship Id="rId62" Type="http://schemas.openxmlformats.org/officeDocument/2006/relationships/hyperlink" Target="https://login.consultant.ru/link/?req=doc&amp;base=LAW&amp;n=394077&amp;dst=100747" TargetMode="External"/><Relationship Id="rId70" Type="http://schemas.openxmlformats.org/officeDocument/2006/relationships/hyperlink" Target="https://login.consultant.ru/link/?req=doc&amp;base=RLAW220&amp;n=142019&amp;dst=100261" TargetMode="External"/><Relationship Id="rId75" Type="http://schemas.openxmlformats.org/officeDocument/2006/relationships/image" Target="media/image7.png"/><Relationship Id="rId83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42019&amp;dst=100005" TargetMode="External"/><Relationship Id="rId15" Type="http://schemas.openxmlformats.org/officeDocument/2006/relationships/hyperlink" Target="https://login.consultant.ru/link/?req=doc&amp;base=RLAW220&amp;n=124852" TargetMode="External"/><Relationship Id="rId23" Type="http://schemas.openxmlformats.org/officeDocument/2006/relationships/hyperlink" Target="https://login.consultant.ru/link/?req=doc&amp;base=LAW&amp;n=216629&amp;dst=100018" TargetMode="External"/><Relationship Id="rId28" Type="http://schemas.openxmlformats.org/officeDocument/2006/relationships/hyperlink" Target="https://login.consultant.ru/link/?req=doc&amp;base=LAW&amp;n=215668&amp;dst=100013" TargetMode="External"/><Relationship Id="rId36" Type="http://schemas.openxmlformats.org/officeDocument/2006/relationships/hyperlink" Target="https://login.consultant.ru/link/?req=doc&amp;base=LAW&amp;n=446992&amp;dst=100019" TargetMode="External"/><Relationship Id="rId49" Type="http://schemas.openxmlformats.org/officeDocument/2006/relationships/image" Target="media/image2.png"/><Relationship Id="rId57" Type="http://schemas.openxmlformats.org/officeDocument/2006/relationships/hyperlink" Target="https://login.consultant.ru/link/?req=doc&amp;base=LAW&amp;n=319514" TargetMode="External"/><Relationship Id="rId10" Type="http://schemas.openxmlformats.org/officeDocument/2006/relationships/hyperlink" Target="https://login.consultant.ru/link/?req=doc&amp;base=RLAW220&amp;n=142019&amp;dst=100006" TargetMode="External"/><Relationship Id="rId31" Type="http://schemas.openxmlformats.org/officeDocument/2006/relationships/hyperlink" Target="https://login.consultant.ru/link/?req=doc&amp;base=LAW&amp;n=488666&amp;dst=100012" TargetMode="External"/><Relationship Id="rId44" Type="http://schemas.openxmlformats.org/officeDocument/2006/relationships/hyperlink" Target="https://login.consultant.ru/link/?req=doc&amp;base=LAW&amp;n=488692&amp;dst=100013" TargetMode="External"/><Relationship Id="rId52" Type="http://schemas.openxmlformats.org/officeDocument/2006/relationships/image" Target="media/image3.png"/><Relationship Id="rId60" Type="http://schemas.openxmlformats.org/officeDocument/2006/relationships/hyperlink" Target="https://login.consultant.ru/link/?req=doc&amp;base=LAW&amp;n=319211" TargetMode="External"/><Relationship Id="rId65" Type="http://schemas.openxmlformats.org/officeDocument/2006/relationships/image" Target="media/image4.png"/><Relationship Id="rId73" Type="http://schemas.openxmlformats.org/officeDocument/2006/relationships/hyperlink" Target="https://login.consultant.ru/link/?req=doc&amp;base=RLAW220&amp;n=142019&amp;dst=100381" TargetMode="External"/><Relationship Id="rId78" Type="http://schemas.openxmlformats.org/officeDocument/2006/relationships/hyperlink" Target="https://login.consultant.ru/link/?req=doc&amp;base=LAW&amp;n=328854" TargetMode="External"/><Relationship Id="rId81" Type="http://schemas.openxmlformats.org/officeDocument/2006/relationships/hyperlink" Target="https://login.consultant.ru/link/?req=doc&amp;base=RLAW220&amp;n=142019&amp;dst=100597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25133</Words>
  <Characters>143262</Characters>
  <Application>Microsoft Office Word</Application>
  <DocSecurity>0</DocSecurity>
  <Lines>1193</Lines>
  <Paragraphs>336</Paragraphs>
  <ScaleCrop>false</ScaleCrop>
  <Company/>
  <LinksUpToDate>false</LinksUpToDate>
  <CharactersWithSpaces>168059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Татьяна Геннадьевна</dc:creator>
  <cp:keywords/>
  <dc:description/>
  <cp:lastModifiedBy>Кононова Татьяна Геннадьевна</cp:lastModifiedBy>
  <cp:revision>2</cp:revision>
  <dcterms:created xsi:type="dcterms:W3CDTF">2025-01-27T07:17:00Z</dcterms:created>
  <dcterms:modified xsi:type="dcterms:W3CDTF">2025-01-27T07:18:00Z</dcterms:modified>
</cp:coreProperties>
</file>